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5228"/>
        <w:gridCol w:w="5228"/>
      </w:tblGrid>
      <w:tr w:rsidR="000C0BAF" w14:paraId="32532675" w14:textId="77777777" w:rsidTr="00C76A1C">
        <w:tc>
          <w:tcPr>
            <w:tcW w:w="2500" w:type="pct"/>
          </w:tcPr>
          <w:p w14:paraId="0A6CB2C4" w14:textId="77777777" w:rsidR="000C0BAF" w:rsidRPr="00514BE1" w:rsidRDefault="000C0BAF" w:rsidP="00514BE1">
            <w:pPr>
              <w:jc w:val="center"/>
              <w:rPr>
                <w:b/>
                <w:bCs/>
              </w:rPr>
            </w:pPr>
            <w:r w:rsidRPr="00514BE1">
              <w:rPr>
                <w:b/>
                <w:bCs/>
              </w:rPr>
              <w:t>English</w:t>
            </w:r>
          </w:p>
        </w:tc>
        <w:tc>
          <w:tcPr>
            <w:tcW w:w="2500" w:type="pct"/>
          </w:tcPr>
          <w:p w14:paraId="3B406E39" w14:textId="77777777" w:rsidR="000C0BAF" w:rsidRPr="00514BE1" w:rsidRDefault="000C0BAF" w:rsidP="000D2608">
            <w:pPr>
              <w:jc w:val="center"/>
              <w:rPr>
                <w:b/>
                <w:bCs/>
              </w:rPr>
            </w:pPr>
            <w:r>
              <w:rPr>
                <w:b/>
                <w:bCs/>
              </w:rPr>
              <w:t>LOTE</w:t>
            </w:r>
          </w:p>
        </w:tc>
      </w:tr>
      <w:tr w:rsidR="000C0BAF" w14:paraId="78D3C540" w14:textId="77777777" w:rsidTr="00C76A1C">
        <w:tc>
          <w:tcPr>
            <w:tcW w:w="2500" w:type="pct"/>
          </w:tcPr>
          <w:p w14:paraId="371BD058" w14:textId="77777777" w:rsidR="000C0BAF" w:rsidRPr="007C303F" w:rsidRDefault="000C0BAF" w:rsidP="00514BE1">
            <w:r w:rsidRPr="007C303F">
              <w:t>Prevention of and Response to Gender-based Violence Policy</w:t>
            </w:r>
          </w:p>
        </w:tc>
        <w:tc>
          <w:tcPr>
            <w:tcW w:w="2500" w:type="pct"/>
          </w:tcPr>
          <w:p w14:paraId="2BD73494" w14:textId="77777777" w:rsidR="000C0BAF" w:rsidRPr="007C303F" w:rsidRDefault="000C0BAF" w:rsidP="000D2608">
            <w:r w:rsidRPr="007C303F">
              <w:t xml:space="preserve">Chính sách </w:t>
            </w:r>
            <w:r>
              <w:t>Ngăn ngừa</w:t>
            </w:r>
            <w:r w:rsidRPr="007C303F">
              <w:t xml:space="preserve"> và </w:t>
            </w:r>
            <w:r>
              <w:t>Ứ</w:t>
            </w:r>
            <w:r w:rsidRPr="007C303F">
              <w:t xml:space="preserve">ng phó với </w:t>
            </w:r>
            <w:r>
              <w:t>Bạo lực Giới tính</w:t>
            </w:r>
          </w:p>
        </w:tc>
      </w:tr>
      <w:tr w:rsidR="000C0BAF" w14:paraId="38143243" w14:textId="77777777" w:rsidTr="00C76A1C">
        <w:tc>
          <w:tcPr>
            <w:tcW w:w="2500" w:type="pct"/>
          </w:tcPr>
          <w:p w14:paraId="10912CDE" w14:textId="77777777" w:rsidR="000C0BAF" w:rsidRDefault="000C0BAF" w:rsidP="00514BE1">
            <w:r w:rsidRPr="007C303F">
              <w:t>Home</w:t>
            </w:r>
          </w:p>
        </w:tc>
        <w:tc>
          <w:tcPr>
            <w:tcW w:w="2500" w:type="pct"/>
          </w:tcPr>
          <w:p w14:paraId="772772F2" w14:textId="77777777" w:rsidR="000C0BAF" w:rsidRDefault="000C0BAF" w:rsidP="000D2608">
            <w:r w:rsidRPr="007C303F">
              <w:t>Trang chủ</w:t>
            </w:r>
          </w:p>
        </w:tc>
      </w:tr>
      <w:tr w:rsidR="000C0BAF" w14:paraId="27FDC976" w14:textId="77777777" w:rsidTr="00C76A1C">
        <w:tc>
          <w:tcPr>
            <w:tcW w:w="2500" w:type="pct"/>
          </w:tcPr>
          <w:p w14:paraId="125B26AA" w14:textId="77777777" w:rsidR="000C0BAF" w:rsidRDefault="000C0BAF" w:rsidP="00514BE1">
            <w:r>
              <w:t>About</w:t>
            </w:r>
          </w:p>
        </w:tc>
        <w:tc>
          <w:tcPr>
            <w:tcW w:w="2500" w:type="pct"/>
          </w:tcPr>
          <w:p w14:paraId="333C6854" w14:textId="77777777" w:rsidR="000C0BAF" w:rsidRDefault="000C0BAF" w:rsidP="000D2608">
            <w:r>
              <w:t>Thông tin sơ lược</w:t>
            </w:r>
          </w:p>
        </w:tc>
      </w:tr>
      <w:tr w:rsidR="000C0BAF" w14:paraId="5A8431DE" w14:textId="77777777" w:rsidTr="00C76A1C">
        <w:tc>
          <w:tcPr>
            <w:tcW w:w="2500" w:type="pct"/>
          </w:tcPr>
          <w:p w14:paraId="7896DC90" w14:textId="77777777" w:rsidR="000C0BAF" w:rsidRPr="007C303F" w:rsidRDefault="000C0BAF" w:rsidP="00514BE1">
            <w:r>
              <w:t>Policies and regulations</w:t>
            </w:r>
          </w:p>
        </w:tc>
        <w:tc>
          <w:tcPr>
            <w:tcW w:w="2500" w:type="pct"/>
          </w:tcPr>
          <w:p w14:paraId="5642CA19" w14:textId="77777777" w:rsidR="000C0BAF" w:rsidRPr="007C303F" w:rsidRDefault="000C0BAF" w:rsidP="000D2608">
            <w:r>
              <w:t>Chính sách và quy định</w:t>
            </w:r>
          </w:p>
        </w:tc>
      </w:tr>
      <w:tr w:rsidR="000C0BAF" w14:paraId="50DA4379" w14:textId="77777777" w:rsidTr="00C76A1C">
        <w:tc>
          <w:tcPr>
            <w:tcW w:w="2500" w:type="pct"/>
          </w:tcPr>
          <w:p w14:paraId="7DA3EF3F" w14:textId="77777777" w:rsidR="000C0BAF" w:rsidRDefault="000C0BAF" w:rsidP="00514BE1">
            <w:r>
              <w:t>Prevention of and Response to Gender-based Violence Policy</w:t>
            </w:r>
          </w:p>
        </w:tc>
        <w:tc>
          <w:tcPr>
            <w:tcW w:w="2500" w:type="pct"/>
          </w:tcPr>
          <w:p w14:paraId="33C785D4" w14:textId="77777777" w:rsidR="000C0BAF" w:rsidRDefault="000C0BAF" w:rsidP="000D2608">
            <w:r>
              <w:t>Chính sách Ngăn ngừa và Ứng phó với Bạo lực Giới tính</w:t>
            </w:r>
          </w:p>
        </w:tc>
      </w:tr>
      <w:tr w:rsidR="000C0BAF" w14:paraId="430097B9" w14:textId="77777777" w:rsidTr="00C76A1C">
        <w:tc>
          <w:tcPr>
            <w:tcW w:w="2500" w:type="pct"/>
          </w:tcPr>
          <w:p w14:paraId="406425CA" w14:textId="77777777" w:rsidR="000C0BAF" w:rsidRDefault="000C0BAF" w:rsidP="00514BE1">
            <w:r w:rsidRPr="007C303F">
              <w:t>Contents</w:t>
            </w:r>
          </w:p>
        </w:tc>
        <w:tc>
          <w:tcPr>
            <w:tcW w:w="2500" w:type="pct"/>
          </w:tcPr>
          <w:p w14:paraId="650E0426" w14:textId="77777777" w:rsidR="000C0BAF" w:rsidRDefault="000C0BAF" w:rsidP="000D2608">
            <w:r>
              <w:t>Mục lục</w:t>
            </w:r>
          </w:p>
        </w:tc>
      </w:tr>
      <w:tr w:rsidR="000C0BAF" w14:paraId="6D4F5710" w14:textId="77777777" w:rsidTr="00C76A1C">
        <w:tc>
          <w:tcPr>
            <w:tcW w:w="2500" w:type="pct"/>
          </w:tcPr>
          <w:p w14:paraId="3306DF87" w14:textId="77777777" w:rsidR="000C0BAF" w:rsidRDefault="000C0BAF" w:rsidP="00514BE1">
            <w:r w:rsidRPr="00BC1E33">
              <w:t>1. Summary</w:t>
            </w:r>
          </w:p>
        </w:tc>
        <w:tc>
          <w:tcPr>
            <w:tcW w:w="2500" w:type="pct"/>
          </w:tcPr>
          <w:p w14:paraId="71D29B64" w14:textId="77777777" w:rsidR="000C0BAF" w:rsidRDefault="000C0BAF" w:rsidP="000D2608">
            <w:r>
              <w:t>1. Phần t</w:t>
            </w:r>
            <w:r w:rsidRPr="00BC1E33">
              <w:t>óm tắt</w:t>
            </w:r>
          </w:p>
        </w:tc>
      </w:tr>
      <w:tr w:rsidR="000C0BAF" w14:paraId="08BE9BAC" w14:textId="77777777" w:rsidTr="00C76A1C">
        <w:tc>
          <w:tcPr>
            <w:tcW w:w="2500" w:type="pct"/>
          </w:tcPr>
          <w:p w14:paraId="672D8E0E" w14:textId="77777777" w:rsidR="000C0BAF" w:rsidRDefault="000C0BAF" w:rsidP="00514BE1">
            <w:r w:rsidRPr="00BC1E33">
              <w:t>2. Objectives</w:t>
            </w:r>
          </w:p>
        </w:tc>
        <w:tc>
          <w:tcPr>
            <w:tcW w:w="2500" w:type="pct"/>
          </w:tcPr>
          <w:p w14:paraId="35549C72" w14:textId="77777777" w:rsidR="000C0BAF" w:rsidRDefault="000C0BAF" w:rsidP="000D2608">
            <w:r w:rsidRPr="00BC1E33">
              <w:t>2. Mục tiêu</w:t>
            </w:r>
          </w:p>
        </w:tc>
      </w:tr>
      <w:tr w:rsidR="000C0BAF" w14:paraId="31C9AF03" w14:textId="77777777" w:rsidTr="00C76A1C">
        <w:tc>
          <w:tcPr>
            <w:tcW w:w="2500" w:type="pct"/>
          </w:tcPr>
          <w:p w14:paraId="27BFF1BE" w14:textId="77777777" w:rsidR="000C0BAF" w:rsidRDefault="000C0BAF" w:rsidP="00514BE1">
            <w:r w:rsidRPr="00BC1E33">
              <w:t>3. Definitions</w:t>
            </w:r>
          </w:p>
        </w:tc>
        <w:tc>
          <w:tcPr>
            <w:tcW w:w="2500" w:type="pct"/>
          </w:tcPr>
          <w:p w14:paraId="79918119" w14:textId="77777777" w:rsidR="000C0BAF" w:rsidRDefault="000C0BAF" w:rsidP="000D2608">
            <w:r w:rsidRPr="00BC1E33">
              <w:t>3. Định nghĩa</w:t>
            </w:r>
          </w:p>
        </w:tc>
      </w:tr>
      <w:tr w:rsidR="000C0BAF" w14:paraId="4F7499AF" w14:textId="77777777" w:rsidTr="00C76A1C">
        <w:tc>
          <w:tcPr>
            <w:tcW w:w="2500" w:type="pct"/>
          </w:tcPr>
          <w:p w14:paraId="15DFA047" w14:textId="77777777" w:rsidR="000C0BAF" w:rsidRDefault="000C0BAF" w:rsidP="00514BE1">
            <w:r w:rsidRPr="00BC1E33">
              <w:t>4. Scope</w:t>
            </w:r>
          </w:p>
        </w:tc>
        <w:tc>
          <w:tcPr>
            <w:tcW w:w="2500" w:type="pct"/>
          </w:tcPr>
          <w:p w14:paraId="72567712" w14:textId="77777777" w:rsidR="000C0BAF" w:rsidRDefault="000C0BAF" w:rsidP="000D2608">
            <w:r w:rsidRPr="00BC1E33">
              <w:t>4. Phạm vi</w:t>
            </w:r>
          </w:p>
        </w:tc>
      </w:tr>
      <w:tr w:rsidR="000C0BAF" w14:paraId="29AAB494" w14:textId="77777777" w:rsidTr="00C76A1C">
        <w:tc>
          <w:tcPr>
            <w:tcW w:w="2500" w:type="pct"/>
          </w:tcPr>
          <w:p w14:paraId="79368290" w14:textId="77777777" w:rsidR="000C0BAF" w:rsidRDefault="000C0BAF" w:rsidP="00514BE1">
            <w:r w:rsidRPr="00BC1E33">
              <w:t>5. Policy</w:t>
            </w:r>
          </w:p>
        </w:tc>
        <w:tc>
          <w:tcPr>
            <w:tcW w:w="2500" w:type="pct"/>
          </w:tcPr>
          <w:p w14:paraId="42D5DB08" w14:textId="77777777" w:rsidR="000C0BAF" w:rsidRDefault="000C0BAF" w:rsidP="000D2608">
            <w:r w:rsidRPr="00BC1E33">
              <w:t>5. Chính sách</w:t>
            </w:r>
          </w:p>
        </w:tc>
      </w:tr>
      <w:tr w:rsidR="000C0BAF" w14:paraId="23107A5C" w14:textId="77777777" w:rsidTr="00C76A1C">
        <w:tc>
          <w:tcPr>
            <w:tcW w:w="2500" w:type="pct"/>
          </w:tcPr>
          <w:p w14:paraId="19BA2EC4" w14:textId="77777777" w:rsidR="000C0BAF" w:rsidRDefault="000C0BAF" w:rsidP="00514BE1">
            <w:r w:rsidRPr="00BC1E33">
              <w:t>6. Roles and responsibilities</w:t>
            </w:r>
          </w:p>
        </w:tc>
        <w:tc>
          <w:tcPr>
            <w:tcW w:w="2500" w:type="pct"/>
          </w:tcPr>
          <w:p w14:paraId="0ADE2AA5" w14:textId="77777777" w:rsidR="000C0BAF" w:rsidRDefault="000C0BAF" w:rsidP="000D2608">
            <w:r w:rsidRPr="00BC1E33">
              <w:t>6. Vai trò và trách nhiệm</w:t>
            </w:r>
          </w:p>
        </w:tc>
      </w:tr>
      <w:tr w:rsidR="000C0BAF" w14:paraId="54BC0750" w14:textId="77777777" w:rsidTr="00C76A1C">
        <w:tc>
          <w:tcPr>
            <w:tcW w:w="2500" w:type="pct"/>
          </w:tcPr>
          <w:p w14:paraId="4A3E1DE1" w14:textId="77777777" w:rsidR="000C0BAF" w:rsidRDefault="000C0BAF" w:rsidP="00514BE1">
            <w:r w:rsidRPr="00BC1E33">
              <w:t>7. Review</w:t>
            </w:r>
          </w:p>
        </w:tc>
        <w:tc>
          <w:tcPr>
            <w:tcW w:w="2500" w:type="pct"/>
          </w:tcPr>
          <w:p w14:paraId="1733E6CF" w14:textId="77777777" w:rsidR="000C0BAF" w:rsidRDefault="000C0BAF" w:rsidP="000D2608">
            <w:r w:rsidRPr="00BC1E33">
              <w:t xml:space="preserve">7. </w:t>
            </w:r>
            <w:r>
              <w:t>Tái duyệt</w:t>
            </w:r>
          </w:p>
        </w:tc>
      </w:tr>
      <w:tr w:rsidR="000C0BAF" w14:paraId="7F75FEDB" w14:textId="77777777" w:rsidTr="00C76A1C">
        <w:tc>
          <w:tcPr>
            <w:tcW w:w="2500" w:type="pct"/>
          </w:tcPr>
          <w:p w14:paraId="225F18A5" w14:textId="77777777" w:rsidR="000C0BAF" w:rsidRDefault="000C0BAF" w:rsidP="00514BE1">
            <w:r w:rsidRPr="00BC1E33">
              <w:t>Delegations</w:t>
            </w:r>
          </w:p>
        </w:tc>
        <w:tc>
          <w:tcPr>
            <w:tcW w:w="2500" w:type="pct"/>
          </w:tcPr>
          <w:p w14:paraId="20231075" w14:textId="77777777" w:rsidR="000C0BAF" w:rsidRPr="00F935E1" w:rsidRDefault="000C0BAF" w:rsidP="000D2608">
            <w:r w:rsidRPr="00F935E1">
              <w:t>Ủy quyền</w:t>
            </w:r>
          </w:p>
        </w:tc>
      </w:tr>
      <w:tr w:rsidR="000C0BAF" w14:paraId="72DA7E79" w14:textId="77777777" w:rsidTr="00C76A1C">
        <w:tc>
          <w:tcPr>
            <w:tcW w:w="2500" w:type="pct"/>
          </w:tcPr>
          <w:p w14:paraId="0FFEF48E" w14:textId="77777777" w:rsidR="000C0BAF" w:rsidRDefault="000C0BAF" w:rsidP="00514BE1">
            <w:r w:rsidRPr="00BC1E33">
              <w:t>Policy details</w:t>
            </w:r>
          </w:p>
        </w:tc>
        <w:tc>
          <w:tcPr>
            <w:tcW w:w="2500" w:type="pct"/>
          </w:tcPr>
          <w:p w14:paraId="78B84C0E" w14:textId="77777777" w:rsidR="000C0BAF" w:rsidRDefault="000C0BAF" w:rsidP="000D2608">
            <w:r w:rsidRPr="00BC1E33">
              <w:t>Chi tiết chính sách</w:t>
            </w:r>
          </w:p>
        </w:tc>
      </w:tr>
      <w:tr w:rsidR="000C0BAF" w14:paraId="64DEE7D9" w14:textId="77777777" w:rsidTr="00C76A1C">
        <w:tc>
          <w:tcPr>
            <w:tcW w:w="2500" w:type="pct"/>
          </w:tcPr>
          <w:p w14:paraId="6FFD8311" w14:textId="77777777" w:rsidR="000C0BAF" w:rsidRDefault="000C0BAF" w:rsidP="00514BE1">
            <w:r w:rsidRPr="00BC1E33">
              <w:t>History</w:t>
            </w:r>
          </w:p>
        </w:tc>
        <w:tc>
          <w:tcPr>
            <w:tcW w:w="2500" w:type="pct"/>
          </w:tcPr>
          <w:p w14:paraId="0EBEF48A" w14:textId="77777777" w:rsidR="000C0BAF" w:rsidRDefault="000C0BAF" w:rsidP="000D2608">
            <w:r w:rsidRPr="00BC1E33">
              <w:t>Lịch sử</w:t>
            </w:r>
          </w:p>
        </w:tc>
      </w:tr>
      <w:tr w:rsidR="000C0BAF" w14:paraId="175FB399" w14:textId="77777777" w:rsidTr="00C76A1C">
        <w:tc>
          <w:tcPr>
            <w:tcW w:w="2500" w:type="pct"/>
          </w:tcPr>
          <w:p w14:paraId="29CC21DE" w14:textId="77777777" w:rsidR="000C0BAF" w:rsidRDefault="000C0BAF" w:rsidP="00514BE1">
            <w:r w:rsidRPr="00BC1E33">
              <w:t>Policy governance</w:t>
            </w:r>
          </w:p>
        </w:tc>
        <w:tc>
          <w:tcPr>
            <w:tcW w:w="2500" w:type="pct"/>
          </w:tcPr>
          <w:p w14:paraId="5FC6A687" w14:textId="77777777" w:rsidR="000C0BAF" w:rsidRDefault="000C0BAF" w:rsidP="000D2608">
            <w:r w:rsidRPr="00BC1E33">
              <w:t>Quản trị chính sách</w:t>
            </w:r>
          </w:p>
        </w:tc>
      </w:tr>
      <w:tr w:rsidR="000C0BAF" w14:paraId="25DBCC68" w14:textId="77777777" w:rsidTr="00C76A1C">
        <w:tc>
          <w:tcPr>
            <w:tcW w:w="2500" w:type="pct"/>
          </w:tcPr>
          <w:p w14:paraId="4EEBE7A1" w14:textId="77777777" w:rsidR="000C0BAF" w:rsidRPr="00167DD6" w:rsidRDefault="000C0BAF" w:rsidP="00514BE1">
            <w:pPr>
              <w:rPr>
                <w:b/>
                <w:bCs/>
              </w:rPr>
            </w:pPr>
            <w:r w:rsidRPr="00167DD6">
              <w:rPr>
                <w:b/>
                <w:bCs/>
              </w:rPr>
              <w:t>1. Summary</w:t>
            </w:r>
          </w:p>
        </w:tc>
        <w:tc>
          <w:tcPr>
            <w:tcW w:w="2500" w:type="pct"/>
          </w:tcPr>
          <w:p w14:paraId="5BB0CEBF" w14:textId="77777777" w:rsidR="000C0BAF" w:rsidRPr="00167DD6" w:rsidRDefault="000C0BAF" w:rsidP="000D2608">
            <w:pPr>
              <w:rPr>
                <w:b/>
                <w:bCs/>
              </w:rPr>
            </w:pPr>
            <w:r>
              <w:rPr>
                <w:b/>
                <w:bCs/>
              </w:rPr>
              <w:t>1. Phần t</w:t>
            </w:r>
            <w:r w:rsidRPr="00167DD6">
              <w:rPr>
                <w:b/>
                <w:bCs/>
              </w:rPr>
              <w:t>óm tắt</w:t>
            </w:r>
          </w:p>
        </w:tc>
      </w:tr>
      <w:tr w:rsidR="000C0BAF" w14:paraId="4F924517" w14:textId="77777777" w:rsidTr="00C76A1C">
        <w:tc>
          <w:tcPr>
            <w:tcW w:w="2500" w:type="pct"/>
          </w:tcPr>
          <w:p w14:paraId="729014E1" w14:textId="77777777" w:rsidR="000C0BAF" w:rsidRDefault="000C0BAF" w:rsidP="00514BE1">
            <w:r w:rsidRPr="005E4530">
              <w:t>Swinburne University of Technology (</w:t>
            </w:r>
            <w:r w:rsidRPr="005E4530">
              <w:rPr>
                <w:b/>
                <w:bCs/>
              </w:rPr>
              <w:t>University</w:t>
            </w:r>
            <w:r w:rsidRPr="005E4530">
              <w:t>) is committed to fostering a safe, respectful, and inclusive environment for all members of its community. Gender-based Violence is unacceptable in any way and in any context.</w:t>
            </w:r>
          </w:p>
          <w:p w14:paraId="672A6659" w14:textId="77777777" w:rsidR="000C0BAF" w:rsidRDefault="000C0BAF" w:rsidP="00514BE1"/>
          <w:p w14:paraId="7D8DAC60" w14:textId="77777777" w:rsidR="000C0BAF" w:rsidRDefault="000C0BAF" w:rsidP="00514BE1">
            <w:r w:rsidRPr="008C1C22">
              <w:t>This Policy sets out the University’s commitment to preventing and responding to Gender-based Violence in our University community.</w:t>
            </w:r>
          </w:p>
        </w:tc>
        <w:tc>
          <w:tcPr>
            <w:tcW w:w="2500" w:type="pct"/>
          </w:tcPr>
          <w:p w14:paraId="00CF7673" w14:textId="77777777" w:rsidR="000C0BAF" w:rsidRDefault="000C0BAF" w:rsidP="000D2608">
            <w:r>
              <w:t xml:space="preserve">Trường </w:t>
            </w:r>
            <w:r w:rsidRPr="005E4530">
              <w:t>Đại học Công nghệ</w:t>
            </w:r>
            <w:r>
              <w:t xml:space="preserve"> Swinburne (</w:t>
            </w:r>
            <w:r w:rsidRPr="005E4530">
              <w:rPr>
                <w:b/>
                <w:bCs/>
              </w:rPr>
              <w:t>Đại học</w:t>
            </w:r>
            <w:r w:rsidRPr="005E4530">
              <w:t xml:space="preserve">) cam kết </w:t>
            </w:r>
            <w:r>
              <w:t>tạo điều kiện để có</w:t>
            </w:r>
            <w:r w:rsidRPr="005E4530">
              <w:t xml:space="preserve"> môi trường an toàn, tôn trọng và hòa nhập cho tất cả các thành viên trong cộng đồng </w:t>
            </w:r>
            <w:r>
              <w:t>nhà trường</w:t>
            </w:r>
            <w:r w:rsidRPr="005E4530">
              <w:t xml:space="preserve">. </w:t>
            </w:r>
            <w:r>
              <w:t>Bạo lực Giới tính</w:t>
            </w:r>
            <w:r w:rsidRPr="005E4530">
              <w:t xml:space="preserve"> là </w:t>
            </w:r>
            <w:r>
              <w:t xml:space="preserve">điều </w:t>
            </w:r>
            <w:r w:rsidRPr="005E4530">
              <w:t>không thể chấp nhận được dưới bất kỳ hình thức nào và trong bất kỳ hoàn cảnh nào.</w:t>
            </w:r>
          </w:p>
          <w:p w14:paraId="0A37501D" w14:textId="77777777" w:rsidR="000C0BAF" w:rsidRDefault="000C0BAF" w:rsidP="000D2608"/>
          <w:p w14:paraId="7D88B4A1" w14:textId="77777777" w:rsidR="000C0BAF" w:rsidRDefault="000C0BAF" w:rsidP="000D2608">
            <w:r w:rsidRPr="008C1C22">
              <w:t xml:space="preserve">Chính </w:t>
            </w:r>
            <w:r>
              <w:t>sách này đề ra cam kết</w:t>
            </w:r>
            <w:r w:rsidRPr="008C1C22">
              <w:t xml:space="preserve"> của </w:t>
            </w:r>
            <w:r>
              <w:t>trường Đại họ</w:t>
            </w:r>
            <w:r w:rsidRPr="008C1C22">
              <w:t xml:space="preserve">c </w:t>
            </w:r>
            <w:r>
              <w:t>về</w:t>
            </w:r>
            <w:r w:rsidRPr="008C1C22">
              <w:t xml:space="preserve"> ngăn ngừa và ứng phó với b</w:t>
            </w:r>
            <w:r>
              <w:t>ạo Bạo lực Giới tính trong</w:t>
            </w:r>
            <w:r w:rsidRPr="008C1C22">
              <w:t xml:space="preserve"> cộng đồng </w:t>
            </w:r>
            <w:r>
              <w:t>trường Đại họ</w:t>
            </w:r>
            <w:r w:rsidRPr="008C1C22">
              <w:t>c.</w:t>
            </w:r>
          </w:p>
        </w:tc>
      </w:tr>
      <w:tr w:rsidR="000C0BAF" w14:paraId="454DCA15" w14:textId="77777777" w:rsidTr="00C76A1C">
        <w:tc>
          <w:tcPr>
            <w:tcW w:w="2500" w:type="pct"/>
          </w:tcPr>
          <w:p w14:paraId="4324B8CA" w14:textId="77777777" w:rsidR="000C0BAF" w:rsidRPr="00167DD6" w:rsidRDefault="000C0BAF" w:rsidP="00514BE1">
            <w:pPr>
              <w:rPr>
                <w:b/>
                <w:bCs/>
              </w:rPr>
            </w:pPr>
            <w:r w:rsidRPr="00167DD6">
              <w:rPr>
                <w:b/>
                <w:bCs/>
              </w:rPr>
              <w:t>2. Objectives</w:t>
            </w:r>
          </w:p>
        </w:tc>
        <w:tc>
          <w:tcPr>
            <w:tcW w:w="2500" w:type="pct"/>
          </w:tcPr>
          <w:p w14:paraId="0DA2668E" w14:textId="77777777" w:rsidR="000C0BAF" w:rsidRPr="00167DD6" w:rsidRDefault="000C0BAF" w:rsidP="000D2608">
            <w:pPr>
              <w:rPr>
                <w:b/>
                <w:bCs/>
              </w:rPr>
            </w:pPr>
            <w:r w:rsidRPr="00167DD6">
              <w:rPr>
                <w:b/>
                <w:bCs/>
              </w:rPr>
              <w:t>2. Mục tiêu</w:t>
            </w:r>
          </w:p>
        </w:tc>
      </w:tr>
      <w:tr w:rsidR="000C0BAF" w14:paraId="7AA13BBD" w14:textId="77777777" w:rsidTr="00C76A1C">
        <w:trPr>
          <w:trHeight w:val="85"/>
        </w:trPr>
        <w:tc>
          <w:tcPr>
            <w:tcW w:w="2500" w:type="pct"/>
          </w:tcPr>
          <w:p w14:paraId="2DEA2A28" w14:textId="77777777" w:rsidR="000C0BAF" w:rsidRDefault="000C0BAF" w:rsidP="00514BE1">
            <w:r w:rsidRPr="005E4530">
              <w:t>This Policy firmly establishes the University’s commitment to actively prevent Gender-based Violence in all forms including physical and online domains.</w:t>
            </w:r>
          </w:p>
        </w:tc>
        <w:tc>
          <w:tcPr>
            <w:tcW w:w="2500" w:type="pct"/>
          </w:tcPr>
          <w:p w14:paraId="4AD5E927" w14:textId="77777777" w:rsidR="000C0BAF" w:rsidRDefault="000C0BAF" w:rsidP="000D2608">
            <w:r w:rsidRPr="005E4530">
              <w:t xml:space="preserve">Chính sách này khẳng định vững chắc cam kết của </w:t>
            </w:r>
            <w:r>
              <w:t>trường Đại họ</w:t>
            </w:r>
            <w:r w:rsidRPr="005E4530">
              <w:t xml:space="preserve">c </w:t>
            </w:r>
            <w:r>
              <w:t>về</w:t>
            </w:r>
            <w:r w:rsidRPr="005E4530">
              <w:t xml:space="preserve"> chủ động ngăn chặn </w:t>
            </w:r>
            <w:r>
              <w:t>Bạo lực Giới tính</w:t>
            </w:r>
            <w:r w:rsidRPr="005E4530">
              <w:t xml:space="preserve"> dưới mọi hình thức, </w:t>
            </w:r>
            <w:r>
              <w:t>kể</w:t>
            </w:r>
            <w:r w:rsidRPr="005E4530">
              <w:t xml:space="preserve"> cả trong môi trường thực tế và trực tuyến.</w:t>
            </w:r>
          </w:p>
        </w:tc>
      </w:tr>
      <w:tr w:rsidR="000C0BAF" w14:paraId="12AB21C6" w14:textId="77777777" w:rsidTr="00C76A1C">
        <w:tc>
          <w:tcPr>
            <w:tcW w:w="2500" w:type="pct"/>
          </w:tcPr>
          <w:p w14:paraId="19228A64" w14:textId="77777777" w:rsidR="000C0BAF" w:rsidRPr="00167DD6" w:rsidRDefault="000C0BAF" w:rsidP="00514BE1">
            <w:pPr>
              <w:rPr>
                <w:b/>
                <w:bCs/>
              </w:rPr>
            </w:pPr>
            <w:r w:rsidRPr="00167DD6">
              <w:rPr>
                <w:b/>
                <w:bCs/>
              </w:rPr>
              <w:t>3. Definitions</w:t>
            </w:r>
          </w:p>
        </w:tc>
        <w:tc>
          <w:tcPr>
            <w:tcW w:w="2500" w:type="pct"/>
          </w:tcPr>
          <w:p w14:paraId="76836F1D" w14:textId="77777777" w:rsidR="000C0BAF" w:rsidRPr="00167DD6" w:rsidRDefault="000C0BAF" w:rsidP="000D2608">
            <w:pPr>
              <w:rPr>
                <w:b/>
                <w:bCs/>
              </w:rPr>
            </w:pPr>
            <w:r w:rsidRPr="00167DD6">
              <w:rPr>
                <w:b/>
                <w:bCs/>
              </w:rPr>
              <w:t>3. Định nghĩa</w:t>
            </w:r>
          </w:p>
        </w:tc>
      </w:tr>
      <w:tr w:rsidR="000C0BAF" w14:paraId="732217A7" w14:textId="77777777" w:rsidTr="00C76A1C">
        <w:tc>
          <w:tcPr>
            <w:tcW w:w="2500" w:type="pct"/>
          </w:tcPr>
          <w:p w14:paraId="0CEB4B25" w14:textId="77777777" w:rsidR="000C0BAF" w:rsidRDefault="000C0BAF" w:rsidP="00514BE1">
            <w:r>
              <w:t>Term</w:t>
            </w:r>
          </w:p>
        </w:tc>
        <w:tc>
          <w:tcPr>
            <w:tcW w:w="2500" w:type="pct"/>
          </w:tcPr>
          <w:p w14:paraId="00F34B83" w14:textId="77777777" w:rsidR="000C0BAF" w:rsidRDefault="000C0BAF" w:rsidP="000D2608">
            <w:r>
              <w:t>Thuật ngữ</w:t>
            </w:r>
          </w:p>
        </w:tc>
      </w:tr>
      <w:tr w:rsidR="000C0BAF" w14:paraId="6DBB4912" w14:textId="77777777" w:rsidTr="00C76A1C">
        <w:tc>
          <w:tcPr>
            <w:tcW w:w="2500" w:type="pct"/>
          </w:tcPr>
          <w:p w14:paraId="3DA1D686" w14:textId="77777777" w:rsidR="000C0BAF" w:rsidRDefault="000C0BAF" w:rsidP="00514BE1">
            <w:r w:rsidRPr="00860FD8">
              <w:t>Definition</w:t>
            </w:r>
          </w:p>
        </w:tc>
        <w:tc>
          <w:tcPr>
            <w:tcW w:w="2500" w:type="pct"/>
          </w:tcPr>
          <w:p w14:paraId="2A3C5BD9" w14:textId="77777777" w:rsidR="000C0BAF" w:rsidRDefault="000C0BAF" w:rsidP="000D2608">
            <w:r>
              <w:t>Định nghĩa</w:t>
            </w:r>
          </w:p>
        </w:tc>
      </w:tr>
      <w:tr w:rsidR="000C0BAF" w14:paraId="4E3821A0" w14:textId="77777777" w:rsidTr="00C76A1C">
        <w:tc>
          <w:tcPr>
            <w:tcW w:w="2500" w:type="pct"/>
          </w:tcPr>
          <w:p w14:paraId="1421F47A" w14:textId="77777777" w:rsidR="000C0BAF" w:rsidRPr="00860FD8" w:rsidRDefault="000C0BAF" w:rsidP="00514BE1">
            <w:r w:rsidRPr="00860FD8">
              <w:t>Affiliated organisation</w:t>
            </w:r>
          </w:p>
        </w:tc>
        <w:tc>
          <w:tcPr>
            <w:tcW w:w="2500" w:type="pct"/>
          </w:tcPr>
          <w:p w14:paraId="7EF99CA7" w14:textId="77777777" w:rsidR="000C0BAF" w:rsidRPr="00860FD8" w:rsidRDefault="000C0BAF" w:rsidP="000D2608">
            <w:r w:rsidRPr="00860FD8">
              <w:t>Tổ chứ</w:t>
            </w:r>
            <w:r>
              <w:t>c có liên kết</w:t>
            </w:r>
          </w:p>
        </w:tc>
      </w:tr>
      <w:tr w:rsidR="000C0BAF" w14:paraId="47329DE9" w14:textId="77777777" w:rsidTr="00C76A1C">
        <w:tc>
          <w:tcPr>
            <w:tcW w:w="2500" w:type="pct"/>
          </w:tcPr>
          <w:p w14:paraId="31EC7D31" w14:textId="77777777" w:rsidR="000C0BAF" w:rsidRPr="00860FD8" w:rsidRDefault="000C0BAF" w:rsidP="00514BE1">
            <w:r w:rsidRPr="00860FD8">
              <w:t>an organisation that uses the University's intellectual property in its name, marketing, recruitment, or governance documents.</w:t>
            </w:r>
          </w:p>
        </w:tc>
        <w:tc>
          <w:tcPr>
            <w:tcW w:w="2500" w:type="pct"/>
          </w:tcPr>
          <w:p w14:paraId="67C30615" w14:textId="77777777" w:rsidR="000C0BAF" w:rsidRPr="00860FD8" w:rsidRDefault="000C0BAF" w:rsidP="000D2608">
            <w:r w:rsidRPr="00860FD8">
              <w:t xml:space="preserve">tổ chức sử dụng tài sản trí tuệ của </w:t>
            </w:r>
            <w:r>
              <w:t>trường Đại họ</w:t>
            </w:r>
            <w:r w:rsidRPr="00860FD8">
              <w:t xml:space="preserve">c </w:t>
            </w:r>
            <w:r>
              <w:t>với danh nghĩa nhà trường</w:t>
            </w:r>
            <w:r w:rsidRPr="00860FD8">
              <w:t xml:space="preserve">, hoạt động tiếp thị, tuyển dụng hoặc các tài liệu quản trị của </w:t>
            </w:r>
            <w:r>
              <w:t>trường</w:t>
            </w:r>
            <w:r w:rsidRPr="00860FD8">
              <w:t>.</w:t>
            </w:r>
          </w:p>
        </w:tc>
      </w:tr>
      <w:tr w:rsidR="000C0BAF" w14:paraId="3DA219BE" w14:textId="77777777" w:rsidTr="00C76A1C">
        <w:tc>
          <w:tcPr>
            <w:tcW w:w="2500" w:type="pct"/>
          </w:tcPr>
          <w:p w14:paraId="03BCA2D9" w14:textId="77777777" w:rsidR="000C0BAF" w:rsidRPr="00860FD8" w:rsidRDefault="000C0BAF" w:rsidP="00514BE1">
            <w:r w:rsidRPr="00860FD8">
              <w:t>Consent</w:t>
            </w:r>
          </w:p>
        </w:tc>
        <w:tc>
          <w:tcPr>
            <w:tcW w:w="2500" w:type="pct"/>
          </w:tcPr>
          <w:p w14:paraId="736EF188" w14:textId="77777777" w:rsidR="000C0BAF" w:rsidRPr="00860FD8" w:rsidRDefault="000C0BAF" w:rsidP="000D2608">
            <w:r>
              <w:t>Đồng ý</w:t>
            </w:r>
          </w:p>
        </w:tc>
      </w:tr>
      <w:tr w:rsidR="000C0BAF" w14:paraId="2F02AB3D" w14:textId="77777777" w:rsidTr="00C76A1C">
        <w:tc>
          <w:tcPr>
            <w:tcW w:w="2500" w:type="pct"/>
          </w:tcPr>
          <w:p w14:paraId="4C0DCC0B" w14:textId="77777777" w:rsidR="000C0BAF" w:rsidRPr="00860FD8" w:rsidRDefault="000C0BAF" w:rsidP="00514BE1">
            <w:r w:rsidRPr="008C1C22">
              <w:t>is the voluntary and explicit agreement to engage in a specific activity, such as the use of personal information and images, and physical and sexual interactions. It must be freely given and informed and can be reversible at any point during the interaction. Consent cannot be obtained through coercion, manipulation, or if a person is incapacitated due to alcohol, drugs, or other factors that impair their ability to make an informed decision.</w:t>
            </w:r>
          </w:p>
        </w:tc>
        <w:tc>
          <w:tcPr>
            <w:tcW w:w="2500" w:type="pct"/>
          </w:tcPr>
          <w:p w14:paraId="1764CFFB" w14:textId="77777777" w:rsidR="000C0BAF" w:rsidRPr="00860FD8" w:rsidRDefault="000C0BAF" w:rsidP="000D2608">
            <w:r w:rsidRPr="008C1C22">
              <w:t xml:space="preserve">là thỏa thuận tự nguyện và rõ ràng để </w:t>
            </w:r>
            <w:r>
              <w:t>tham gia</w:t>
            </w:r>
            <w:r w:rsidRPr="008C1C22">
              <w:t xml:space="preserve"> một hoạt động cụ thể, chẳng hạn như sử dụng thông tin và hình ảnh cá nhân, cũng như các tương tác thể chất và tình dục. </w:t>
            </w:r>
            <w:r>
              <w:t>Sự đồng ý</w:t>
            </w:r>
            <w:r w:rsidRPr="008C1C22">
              <w:t xml:space="preserve"> này phải </w:t>
            </w:r>
            <w:r>
              <w:t xml:space="preserve">là </w:t>
            </w:r>
            <w:r w:rsidRPr="008C1C22">
              <w:t xml:space="preserve">tự nguyện và </w:t>
            </w:r>
            <w:r>
              <w:t>chín chắn</w:t>
            </w:r>
            <w:r w:rsidRPr="008C1C22">
              <w:t xml:space="preserve">, và có thể được đảo bất cứ lúc nào trong </w:t>
            </w:r>
            <w:r>
              <w:t>lúc</w:t>
            </w:r>
            <w:r w:rsidRPr="008C1C22">
              <w:t xml:space="preserve"> tương tác. </w:t>
            </w:r>
            <w:r>
              <w:t>Sự đồng ý</w:t>
            </w:r>
            <w:r w:rsidRPr="008C1C22" w:rsidDel="009336CE">
              <w:t xml:space="preserve"> </w:t>
            </w:r>
            <w:r>
              <w:t>k</w:t>
            </w:r>
            <w:r w:rsidRPr="008C1C22">
              <w:t xml:space="preserve">hông thể </w:t>
            </w:r>
            <w:r>
              <w:t>là vì bị</w:t>
            </w:r>
            <w:r w:rsidRPr="008C1C22">
              <w:t xml:space="preserve"> ép buộc, thao túng, hoặc nếu </w:t>
            </w:r>
            <w:r>
              <w:t>cá nhân</w:t>
            </w:r>
            <w:r w:rsidRPr="008C1C22">
              <w:t xml:space="preserve"> bị mất khả năng nhận thức do </w:t>
            </w:r>
            <w:r>
              <w:t>rượu bia</w:t>
            </w:r>
            <w:r w:rsidRPr="008C1C22">
              <w:t xml:space="preserve">, ma túy hoặc các yếu tố khác làm suy giảm khả năng </w:t>
            </w:r>
            <w:r>
              <w:t>quyết định chín chắn</w:t>
            </w:r>
            <w:r w:rsidRPr="008C1C22">
              <w:t>.</w:t>
            </w:r>
          </w:p>
        </w:tc>
      </w:tr>
      <w:tr w:rsidR="000C0BAF" w14:paraId="00D61F0C" w14:textId="77777777" w:rsidTr="00C76A1C">
        <w:tc>
          <w:tcPr>
            <w:tcW w:w="2500" w:type="pct"/>
          </w:tcPr>
          <w:p w14:paraId="5DDA1E1D" w14:textId="77777777" w:rsidR="000C0BAF" w:rsidRPr="00860FD8" w:rsidRDefault="000C0BAF" w:rsidP="00514BE1">
            <w:r w:rsidRPr="008C1C22">
              <w:t>Discloser</w:t>
            </w:r>
          </w:p>
        </w:tc>
        <w:tc>
          <w:tcPr>
            <w:tcW w:w="2500" w:type="pct"/>
          </w:tcPr>
          <w:p w14:paraId="31D90619" w14:textId="77777777" w:rsidR="000C0BAF" w:rsidRPr="00860FD8" w:rsidRDefault="000C0BAF" w:rsidP="000D2608">
            <w:r w:rsidRPr="008C1C22">
              <w:t>N</w:t>
            </w:r>
            <w:r>
              <w:t>gười tố cáo</w:t>
            </w:r>
          </w:p>
        </w:tc>
      </w:tr>
      <w:tr w:rsidR="000C0BAF" w14:paraId="500A045F" w14:textId="77777777" w:rsidTr="00C76A1C">
        <w:tc>
          <w:tcPr>
            <w:tcW w:w="2500" w:type="pct"/>
          </w:tcPr>
          <w:p w14:paraId="12B483DC" w14:textId="77777777" w:rsidR="000C0BAF" w:rsidRPr="00860FD8" w:rsidRDefault="000C0BAF" w:rsidP="00514BE1">
            <w:r w:rsidRPr="00860FD8">
              <w:t>a person who has shared information with the University about an experience of Gender-based Violence under this Policy.</w:t>
            </w:r>
          </w:p>
        </w:tc>
        <w:tc>
          <w:tcPr>
            <w:tcW w:w="2500" w:type="pct"/>
          </w:tcPr>
          <w:p w14:paraId="6E74CD3B" w14:textId="77777777" w:rsidR="000C0BAF" w:rsidRPr="00860FD8" w:rsidRDefault="000C0BAF" w:rsidP="000D2608">
            <w:r>
              <w:t>n</w:t>
            </w:r>
            <w:r w:rsidRPr="00860FD8">
              <w:t xml:space="preserve">gười đã chia sẻ thông tin với </w:t>
            </w:r>
            <w:r>
              <w:t>trường Đại họ</w:t>
            </w:r>
            <w:r w:rsidRPr="00860FD8">
              <w:t xml:space="preserve">c về trải </w:t>
            </w:r>
            <w:r>
              <w:t>nghiệm liên quan đến Bạo lực Giới tính</w:t>
            </w:r>
            <w:r w:rsidRPr="00860FD8">
              <w:t xml:space="preserve"> theo Chính sách này.</w:t>
            </w:r>
          </w:p>
        </w:tc>
      </w:tr>
      <w:tr w:rsidR="000C0BAF" w14:paraId="3D2F9656" w14:textId="77777777" w:rsidTr="00C76A1C">
        <w:tc>
          <w:tcPr>
            <w:tcW w:w="2500" w:type="pct"/>
          </w:tcPr>
          <w:p w14:paraId="3D3A874C" w14:textId="77777777" w:rsidR="000C0BAF" w:rsidRPr="00860FD8" w:rsidRDefault="000C0BAF" w:rsidP="00514BE1">
            <w:r w:rsidRPr="00860FD8">
              <w:t>Disclosure</w:t>
            </w:r>
          </w:p>
        </w:tc>
        <w:tc>
          <w:tcPr>
            <w:tcW w:w="2500" w:type="pct"/>
          </w:tcPr>
          <w:p w14:paraId="62617536" w14:textId="77777777" w:rsidR="000C0BAF" w:rsidRPr="00860FD8" w:rsidRDefault="000C0BAF" w:rsidP="000D2608">
            <w:r>
              <w:t>Đơn tố cáo</w:t>
            </w:r>
          </w:p>
        </w:tc>
      </w:tr>
      <w:tr w:rsidR="000C0BAF" w14:paraId="5F842F1F" w14:textId="77777777" w:rsidTr="00C76A1C">
        <w:tc>
          <w:tcPr>
            <w:tcW w:w="2500" w:type="pct"/>
          </w:tcPr>
          <w:p w14:paraId="795020DA" w14:textId="77777777" w:rsidR="000C0BAF" w:rsidRPr="00860FD8" w:rsidRDefault="000C0BAF" w:rsidP="00514BE1">
            <w:r w:rsidRPr="00860FD8">
              <w:t>a disclosure occurs when an individual shares their experience of Gender-based Violence with another person at the University for the purpose of seeking support, advice and/or resources. A disclosure is not the same as a formal report, and the person disclosing may not wish to pursue further action at that time.  However, it may be necessary for the University to take action in relation to a disclosure, including conducting an investigation, for example where it is necessary to do so to protect the health and safety of the Discloser or others.</w:t>
            </w:r>
          </w:p>
        </w:tc>
        <w:tc>
          <w:tcPr>
            <w:tcW w:w="2500" w:type="pct"/>
          </w:tcPr>
          <w:p w14:paraId="0C2D6E1E" w14:textId="77777777" w:rsidR="000C0BAF" w:rsidRPr="00860FD8" w:rsidRDefault="000C0BAF" w:rsidP="000D2608">
            <w:r>
              <w:t>tố cáo là</w:t>
            </w:r>
            <w:r w:rsidRPr="00860FD8">
              <w:t xml:space="preserve"> khi cá nhân chia sẻ với người khác tại </w:t>
            </w:r>
            <w:r>
              <w:t>trường Đại họ</w:t>
            </w:r>
            <w:r w:rsidRPr="00860FD8">
              <w:t xml:space="preserve">c trải </w:t>
            </w:r>
            <w:r>
              <w:t>nghiệm liên quan đến Bạo lực Giới tính</w:t>
            </w:r>
            <w:r w:rsidRPr="00860FD8">
              <w:t xml:space="preserve"> nhằm mục đích </w:t>
            </w:r>
            <w:r>
              <w:t>nhờ hỗ trợ</w:t>
            </w:r>
            <w:r w:rsidRPr="00860FD8">
              <w:t xml:space="preserve">, tư vấn và/hoặc các nguồn lực. </w:t>
            </w:r>
            <w:r>
              <w:t>Đơn tố cáo</w:t>
            </w:r>
            <w:r w:rsidRPr="00860FD8">
              <w:t xml:space="preserve"> không giống như </w:t>
            </w:r>
            <w:r>
              <w:t>Báo cáo Chính thức</w:t>
            </w:r>
            <w:r w:rsidRPr="00860FD8">
              <w:t>, và n</w:t>
            </w:r>
            <w:r>
              <w:t>gười tố cáo</w:t>
            </w:r>
            <w:r w:rsidRPr="00860FD8">
              <w:t xml:space="preserve"> có thể không muốn </w:t>
            </w:r>
            <w:r>
              <w:t>thực hiện thêm hành động nào</w:t>
            </w:r>
            <w:r w:rsidRPr="00860FD8">
              <w:t xml:space="preserve"> vào thời điểm đó. Tuy nhiên, </w:t>
            </w:r>
            <w:r>
              <w:t>trường Đại họ</w:t>
            </w:r>
            <w:r w:rsidRPr="00860FD8">
              <w:t xml:space="preserve">c có thể cần phải hành động liên quan đến </w:t>
            </w:r>
            <w:r>
              <w:t>đơn tố cáo</w:t>
            </w:r>
            <w:r w:rsidRPr="00860FD8">
              <w:t xml:space="preserve">, </w:t>
            </w:r>
            <w:r>
              <w:t>kể cả</w:t>
            </w:r>
            <w:r w:rsidRPr="00860FD8">
              <w:t xml:space="preserve"> </w:t>
            </w:r>
            <w:r>
              <w:t>điều</w:t>
            </w:r>
            <w:r w:rsidRPr="00860FD8">
              <w:t xml:space="preserve"> tra, ví dụ</w:t>
            </w:r>
            <w:r>
              <w:t xml:space="preserve"> như trong trường hợp</w:t>
            </w:r>
            <w:r w:rsidRPr="00860FD8">
              <w:t xml:space="preserve"> cần thiết để bảo vệ sức khỏe và an toàn của n</w:t>
            </w:r>
            <w:r>
              <w:t>gười tố cáo</w:t>
            </w:r>
            <w:r w:rsidRPr="00860FD8">
              <w:t xml:space="preserve"> hoặc những người khác.</w:t>
            </w:r>
          </w:p>
        </w:tc>
      </w:tr>
      <w:tr w:rsidR="000C0BAF" w14:paraId="2155B38A" w14:textId="77777777" w:rsidTr="00C76A1C">
        <w:tc>
          <w:tcPr>
            <w:tcW w:w="2500" w:type="pct"/>
          </w:tcPr>
          <w:p w14:paraId="61428D85" w14:textId="77777777" w:rsidR="000C0BAF" w:rsidRPr="00860FD8" w:rsidRDefault="000C0BAF" w:rsidP="00514BE1">
            <w:r w:rsidRPr="008C1C22">
              <w:t>Enterprise Agreement</w:t>
            </w:r>
          </w:p>
        </w:tc>
        <w:tc>
          <w:tcPr>
            <w:tcW w:w="2500" w:type="pct"/>
          </w:tcPr>
          <w:p w14:paraId="2D6F3E3C" w14:textId="77777777" w:rsidR="000C0BAF" w:rsidRPr="00860FD8" w:rsidRDefault="000C0BAF" w:rsidP="000D2608">
            <w:r w:rsidRPr="008C1C22">
              <w:t xml:space="preserve">Thỏa thuận </w:t>
            </w:r>
            <w:r>
              <w:t>Tập thể</w:t>
            </w:r>
          </w:p>
        </w:tc>
      </w:tr>
      <w:tr w:rsidR="000C0BAF" w14:paraId="3315CE98" w14:textId="77777777" w:rsidTr="00C76A1C">
        <w:tc>
          <w:tcPr>
            <w:tcW w:w="2500" w:type="pct"/>
          </w:tcPr>
          <w:p w14:paraId="73CC83F1" w14:textId="77777777" w:rsidR="000C0BAF" w:rsidRPr="00860FD8" w:rsidRDefault="000C0BAF" w:rsidP="00514BE1">
            <w:r w:rsidRPr="008C1C22">
              <w:t>The Swinburne University of Technology - Academic and Professional Employees Enterprise Agreement 2024 or Swinburne University of Technology – Vocational Education or Training Enterprise Agreement 2022 as varied or replaced.</w:t>
            </w:r>
          </w:p>
        </w:tc>
        <w:tc>
          <w:tcPr>
            <w:tcW w:w="2500" w:type="pct"/>
          </w:tcPr>
          <w:p w14:paraId="337437AC" w14:textId="77777777" w:rsidR="000C0BAF" w:rsidRPr="00860FD8" w:rsidRDefault="000C0BAF" w:rsidP="000D2608">
            <w:r w:rsidRPr="008C1C22">
              <w:t xml:space="preserve">Thỏa thuận </w:t>
            </w:r>
            <w:r>
              <w:t>T</w:t>
            </w:r>
            <w:r w:rsidRPr="008C1C22">
              <w:t xml:space="preserve">ập </w:t>
            </w:r>
            <w:r>
              <w:t>thể Nhân viên</w:t>
            </w:r>
            <w:r w:rsidRPr="008C1C22">
              <w:t xml:space="preserve"> </w:t>
            </w:r>
            <w:r>
              <w:t>G</w:t>
            </w:r>
            <w:r w:rsidRPr="008C1C22">
              <w:t xml:space="preserve">iảng dạy và </w:t>
            </w:r>
            <w:r>
              <w:t>C</w:t>
            </w:r>
            <w:r w:rsidRPr="008C1C22">
              <w:t xml:space="preserve">huyên </w:t>
            </w:r>
            <w:r>
              <w:t xml:space="preserve">môn trường </w:t>
            </w:r>
            <w:r w:rsidRPr="008C1C22">
              <w:t xml:space="preserve">Đại học Công nghệ Swinburne 2024 hoặc Thỏa thuận </w:t>
            </w:r>
            <w:r>
              <w:t>T</w:t>
            </w:r>
            <w:r w:rsidRPr="008C1C22">
              <w:t xml:space="preserve">ập </w:t>
            </w:r>
            <w:r>
              <w:t>thể G</w:t>
            </w:r>
            <w:r w:rsidRPr="008C1C22">
              <w:t>iáo dục hoặ</w:t>
            </w:r>
            <w:r>
              <w:t>c Đ</w:t>
            </w:r>
            <w:r w:rsidRPr="008C1C22">
              <w:t xml:space="preserve">ào tạo </w:t>
            </w:r>
            <w:r>
              <w:t>Nghề</w:t>
            </w:r>
            <w:r w:rsidRPr="008C1C22">
              <w:t xml:space="preserve"> </w:t>
            </w:r>
            <w:r>
              <w:t>trường</w:t>
            </w:r>
            <w:r w:rsidRPr="008C1C22">
              <w:t xml:space="preserve"> Đại học Công nghệ Swinburne 2022, </w:t>
            </w:r>
            <w:r>
              <w:t xml:space="preserve">như </w:t>
            </w:r>
            <w:r w:rsidRPr="008C1C22">
              <w:t>đ</w:t>
            </w:r>
            <w:r>
              <w:t xml:space="preserve">ã </w:t>
            </w:r>
            <w:r w:rsidRPr="008C1C22">
              <w:t>sửa đổi hoặc thay thế.</w:t>
            </w:r>
          </w:p>
        </w:tc>
      </w:tr>
      <w:tr w:rsidR="000C0BAF" w14:paraId="1231316D" w14:textId="77777777" w:rsidTr="00C76A1C">
        <w:tc>
          <w:tcPr>
            <w:tcW w:w="2500" w:type="pct"/>
          </w:tcPr>
          <w:p w14:paraId="72398A19" w14:textId="77777777" w:rsidR="000C0BAF" w:rsidRPr="00860FD8" w:rsidRDefault="000C0BAF" w:rsidP="00514BE1">
            <w:r w:rsidRPr="008C1C22">
              <w:t>Formal Report</w:t>
            </w:r>
          </w:p>
        </w:tc>
        <w:tc>
          <w:tcPr>
            <w:tcW w:w="2500" w:type="pct"/>
          </w:tcPr>
          <w:p w14:paraId="5004EA82" w14:textId="77777777" w:rsidR="000C0BAF" w:rsidRPr="00860FD8" w:rsidRDefault="000C0BAF" w:rsidP="000D2608">
            <w:r w:rsidRPr="008C1C22">
              <w:t xml:space="preserve">Báo cáo </w:t>
            </w:r>
            <w:r>
              <w:t>C</w:t>
            </w:r>
            <w:r w:rsidRPr="008C1C22">
              <w:t>hính thức</w:t>
            </w:r>
          </w:p>
        </w:tc>
      </w:tr>
      <w:tr w:rsidR="000C0BAF" w14:paraId="2B044498" w14:textId="77777777" w:rsidTr="00C76A1C">
        <w:tc>
          <w:tcPr>
            <w:tcW w:w="2500" w:type="pct"/>
          </w:tcPr>
          <w:p w14:paraId="7BD8C946" w14:textId="77777777" w:rsidR="000C0BAF" w:rsidRPr="00860FD8" w:rsidRDefault="000C0BAF" w:rsidP="00514BE1">
            <w:r w:rsidRPr="008C1C22">
              <w:t>formal Report refers to a formal notification to the University regarding an incident of Gender-based Violence where there is an expectation for a formal response including but not limited to an investigation or disciplinary action.</w:t>
            </w:r>
          </w:p>
        </w:tc>
        <w:tc>
          <w:tcPr>
            <w:tcW w:w="2500" w:type="pct"/>
          </w:tcPr>
          <w:p w14:paraId="3BF3B572" w14:textId="77777777" w:rsidR="000C0BAF" w:rsidRPr="00860FD8" w:rsidRDefault="000C0BAF" w:rsidP="000D2608">
            <w:r>
              <w:t>Báo cáo Chính thức</w:t>
            </w:r>
            <w:r w:rsidRPr="008C1C22">
              <w:t xml:space="preserve"> đề cập đến thông báo chính thức gửi đến </w:t>
            </w:r>
            <w:r>
              <w:t>trường Đại họ</w:t>
            </w:r>
            <w:r w:rsidRPr="008C1C22">
              <w:t>c về</w:t>
            </w:r>
            <w:r>
              <w:t xml:space="preserve">  Bạo lực Giới tính</w:t>
            </w:r>
            <w:r w:rsidRPr="008C1C22">
              <w:t xml:space="preserve">, trong đó có yêu cầu </w:t>
            </w:r>
            <w:r>
              <w:t>ứng phó chính thức</w:t>
            </w:r>
            <w:r w:rsidRPr="008C1C22">
              <w:t xml:space="preserve">, bao gồm nhưng không giới hạn </w:t>
            </w:r>
            <w:r>
              <w:t>ở điều</w:t>
            </w:r>
            <w:r w:rsidRPr="008C1C22">
              <w:t xml:space="preserve"> tra hoặc </w:t>
            </w:r>
            <w:r>
              <w:t>biện pháp kỷ luật</w:t>
            </w:r>
            <w:r w:rsidRPr="008C1C22">
              <w:t>.</w:t>
            </w:r>
          </w:p>
        </w:tc>
      </w:tr>
      <w:tr w:rsidR="000C0BAF" w14:paraId="709B12CE" w14:textId="77777777" w:rsidTr="00C76A1C">
        <w:tc>
          <w:tcPr>
            <w:tcW w:w="2500" w:type="pct"/>
          </w:tcPr>
          <w:p w14:paraId="641E4B0B" w14:textId="77777777" w:rsidR="000C0BAF" w:rsidRPr="00860FD8" w:rsidRDefault="000C0BAF" w:rsidP="00514BE1">
            <w:r w:rsidRPr="008C1C22">
              <w:t>Gender-based Violence</w:t>
            </w:r>
          </w:p>
        </w:tc>
        <w:tc>
          <w:tcPr>
            <w:tcW w:w="2500" w:type="pct"/>
          </w:tcPr>
          <w:p w14:paraId="3CE04A52" w14:textId="77777777" w:rsidR="000C0BAF" w:rsidRPr="00860FD8" w:rsidRDefault="000C0BAF" w:rsidP="000D2608">
            <w:r>
              <w:t>Bạo lực Giới tính</w:t>
            </w:r>
          </w:p>
        </w:tc>
      </w:tr>
      <w:tr w:rsidR="000C0BAF" w14:paraId="1E0B55AE" w14:textId="77777777" w:rsidTr="00C76A1C">
        <w:tc>
          <w:tcPr>
            <w:tcW w:w="2500" w:type="pct"/>
          </w:tcPr>
          <w:p w14:paraId="1F02DFF1" w14:textId="77777777" w:rsidR="000C0BAF" w:rsidRPr="00860FD8" w:rsidRDefault="000C0BAF" w:rsidP="00514BE1">
            <w:r w:rsidRPr="008C1C22">
              <w:t>as defined by the National Code (2025), Gender-based Violence describes violence that is rooted in gender-based power, inequality and discrimination. It includes any form of physical or non-physical violence, harassment (including sexual harassment and sex-based harassment), abuse or threats, based on gender, that results in, or is likely to result in, harm, coercion, control, fear or deprivation of liberty or autonomy. People of all genders can experience gender-based violence.</w:t>
            </w:r>
            <w:r w:rsidRPr="008C1C22">
              <w:rPr>
                <w:rFonts w:ascii="Arial" w:hAnsi="Arial" w:cs="Arial"/>
              </w:rPr>
              <w:t> </w:t>
            </w:r>
          </w:p>
        </w:tc>
        <w:tc>
          <w:tcPr>
            <w:tcW w:w="2500" w:type="pct"/>
          </w:tcPr>
          <w:p w14:paraId="2C15C33D" w14:textId="77777777" w:rsidR="000C0BAF" w:rsidRPr="00860FD8" w:rsidRDefault="000C0BAF" w:rsidP="000D2608">
            <w:r>
              <w:t>theo định nghĩa của Bộ luật Toàn quốc</w:t>
            </w:r>
            <w:r w:rsidRPr="008C1C22">
              <w:t xml:space="preserve"> (2025), </w:t>
            </w:r>
            <w:r>
              <w:t>Bạo lực Giới tính là bạo lực</w:t>
            </w:r>
            <w:r w:rsidRPr="008C1C22">
              <w:t xml:space="preserve"> bắt nguồn từ quyền lực, bất bình đẳng và phân biệt đối xử dựa trên giới tính</w:t>
            </w:r>
            <w:r>
              <w:t>,</w:t>
            </w:r>
            <w:r w:rsidRPr="008C1C22">
              <w:t xml:space="preserve"> bao gồm bất kỳ hình thức b</w:t>
            </w:r>
            <w:r>
              <w:t>ạo lực</w:t>
            </w:r>
            <w:r w:rsidRPr="008C1C22">
              <w:t xml:space="preserve"> thể chất hoặc phi thể chất, quấy rối (bao gồm quấy rối tình dục và quấy rối dựa trên giới tính), </w:t>
            </w:r>
            <w:r>
              <w:t>ngược đãi</w:t>
            </w:r>
            <w:r w:rsidRPr="008C1C22">
              <w:t xml:space="preserve"> hoặc đe dọa nào, dựa trên giới tính, </w:t>
            </w:r>
            <w:r>
              <w:t>mà hậu quả là</w:t>
            </w:r>
            <w:r w:rsidRPr="008C1C22">
              <w:t xml:space="preserve"> hoặc </w:t>
            </w:r>
            <w:r>
              <w:t>hậu quả có thể là</w:t>
            </w:r>
            <w:r w:rsidRPr="008C1C22">
              <w:t xml:space="preserve"> tổn hại, </w:t>
            </w:r>
            <w:r>
              <w:t>cưỡng ép</w:t>
            </w:r>
            <w:r w:rsidRPr="008C1C22">
              <w:t xml:space="preserve">, kiểm soát, sợ hãi hoặc tước đoạt </w:t>
            </w:r>
            <w:r>
              <w:t xml:space="preserve">quyền </w:t>
            </w:r>
            <w:r w:rsidRPr="008C1C22">
              <w:t>tự do h</w:t>
            </w:r>
            <w:r>
              <w:t>ay</w:t>
            </w:r>
            <w:r w:rsidRPr="008C1C22">
              <w:t xml:space="preserve"> quyền tự chủ. Người thuộc mọi giới tính đều có thể </w:t>
            </w:r>
            <w:r>
              <w:t>là nạn nhân</w:t>
            </w:r>
            <w:r w:rsidRPr="008C1C22">
              <w:t xml:space="preserve"> </w:t>
            </w:r>
            <w:r>
              <w:t xml:space="preserve"> Bạo lực Giới tính</w:t>
            </w:r>
            <w:r w:rsidRPr="008C1C22">
              <w:t>.</w:t>
            </w:r>
            <w:r w:rsidRPr="008C1C22">
              <w:rPr>
                <w:rFonts w:ascii="Arial" w:hAnsi="Arial" w:cs="Arial"/>
              </w:rPr>
              <w:t> </w:t>
            </w:r>
          </w:p>
        </w:tc>
      </w:tr>
      <w:tr w:rsidR="000C0BAF" w14:paraId="02ACB2C9" w14:textId="77777777" w:rsidTr="00C76A1C">
        <w:tc>
          <w:tcPr>
            <w:tcW w:w="2500" w:type="pct"/>
          </w:tcPr>
          <w:p w14:paraId="71B7C653" w14:textId="77777777" w:rsidR="000C0BAF" w:rsidRPr="00860FD8" w:rsidRDefault="000C0BAF" w:rsidP="00514BE1">
            <w:r w:rsidRPr="008C1C22">
              <w:t>Leaders</w:t>
            </w:r>
          </w:p>
        </w:tc>
        <w:tc>
          <w:tcPr>
            <w:tcW w:w="2500" w:type="pct"/>
          </w:tcPr>
          <w:p w14:paraId="295D2095" w14:textId="77777777" w:rsidR="000C0BAF" w:rsidRPr="00860FD8" w:rsidRDefault="000C0BAF" w:rsidP="000D2608">
            <w:r w:rsidRPr="008C1C22">
              <w:t>Lãnh đạo</w:t>
            </w:r>
          </w:p>
        </w:tc>
      </w:tr>
      <w:tr w:rsidR="000C0BAF" w14:paraId="5133BAF5" w14:textId="77777777" w:rsidTr="00C76A1C">
        <w:tc>
          <w:tcPr>
            <w:tcW w:w="2500" w:type="pct"/>
          </w:tcPr>
          <w:p w14:paraId="4E115263" w14:textId="77777777" w:rsidR="000C0BAF" w:rsidRPr="00860FD8" w:rsidRDefault="000C0BAF" w:rsidP="00514BE1">
            <w:r w:rsidRPr="008C1C22">
              <w:t>the Vice-Chancellor and members of the University Council and its committees.</w:t>
            </w:r>
          </w:p>
        </w:tc>
        <w:tc>
          <w:tcPr>
            <w:tcW w:w="2500" w:type="pct"/>
          </w:tcPr>
          <w:p w14:paraId="2528A099" w14:textId="77777777" w:rsidR="000C0BAF" w:rsidRPr="00860FD8" w:rsidRDefault="000C0BAF" w:rsidP="000D2608">
            <w:r>
              <w:t>Hiệu trưởng</w:t>
            </w:r>
            <w:r w:rsidRPr="008C1C22">
              <w:t xml:space="preserve"> và các thành viên </w:t>
            </w:r>
            <w:r>
              <w:t>Hội đồng Trường Đại học</w:t>
            </w:r>
            <w:r w:rsidRPr="008C1C22">
              <w:t xml:space="preserve"> cùng các </w:t>
            </w:r>
            <w:r>
              <w:t>ủy ban thuộc Hội</w:t>
            </w:r>
            <w:r w:rsidRPr="008C1C22">
              <w:t xml:space="preserve"> đồng</w:t>
            </w:r>
            <w:r>
              <w:t xml:space="preserve"> Trường Đại học</w:t>
            </w:r>
            <w:r w:rsidRPr="008C1C22">
              <w:t>.</w:t>
            </w:r>
          </w:p>
        </w:tc>
      </w:tr>
      <w:tr w:rsidR="000C0BAF" w14:paraId="193EA2B9" w14:textId="77777777" w:rsidTr="00C76A1C">
        <w:tc>
          <w:tcPr>
            <w:tcW w:w="2500" w:type="pct"/>
          </w:tcPr>
          <w:p w14:paraId="0C7B344D" w14:textId="77777777" w:rsidR="000C0BAF" w:rsidRPr="00860FD8" w:rsidRDefault="000C0BAF" w:rsidP="00514BE1">
            <w:r w:rsidRPr="008C1C22">
              <w:t>Person-centred</w:t>
            </w:r>
          </w:p>
        </w:tc>
        <w:tc>
          <w:tcPr>
            <w:tcW w:w="2500" w:type="pct"/>
          </w:tcPr>
          <w:p w14:paraId="2DD31574" w14:textId="77777777" w:rsidR="000C0BAF" w:rsidRPr="00860FD8" w:rsidRDefault="000C0BAF" w:rsidP="000D2608">
            <w:r>
              <w:t>Con người là trọng tâm</w:t>
            </w:r>
          </w:p>
        </w:tc>
      </w:tr>
      <w:tr w:rsidR="000C0BAF" w14:paraId="0A6E535F" w14:textId="77777777" w:rsidTr="00C76A1C">
        <w:tc>
          <w:tcPr>
            <w:tcW w:w="2500" w:type="pct"/>
          </w:tcPr>
          <w:p w14:paraId="71C608A3" w14:textId="77777777" w:rsidR="000C0BAF" w:rsidRPr="00860FD8" w:rsidRDefault="000C0BAF" w:rsidP="00514BE1">
            <w:r w:rsidRPr="008C1C22">
              <w:t>person-centred means ensuring that the Discloser's needs and preferences are at the centre of decisions made in response to the Disclosure, genuinely considering their wishes and the impact that decisions may have on them, while at all times ensuring the safety and wellbeing of the Discloser and other Students and Staff Members.</w:t>
            </w:r>
          </w:p>
        </w:tc>
        <w:tc>
          <w:tcPr>
            <w:tcW w:w="2500" w:type="pct"/>
          </w:tcPr>
          <w:p w14:paraId="62A55EF9" w14:textId="77777777" w:rsidR="000C0BAF" w:rsidRPr="00860FD8" w:rsidRDefault="000C0BAF" w:rsidP="000D2608">
            <w:r>
              <w:t>p</w:t>
            </w:r>
            <w:r w:rsidRPr="008C1C22">
              <w:t>hư</w:t>
            </w:r>
            <w:r>
              <w:t>ơng thức</w:t>
            </w:r>
            <w:r w:rsidRPr="008C1C22">
              <w:t xml:space="preserve"> </w:t>
            </w:r>
            <w:r>
              <w:t>đặt con người là trọng tâm</w:t>
            </w:r>
            <w:r w:rsidRPr="008C1C22">
              <w:t xml:space="preserve"> có nghĩa là đảm bảo rằng nhu cầu và nguyện vọng của n</w:t>
            </w:r>
            <w:r>
              <w:t>gười tố cáo</w:t>
            </w:r>
            <w:r w:rsidRPr="008C1C22">
              <w:t xml:space="preserve"> luôn được đặt lên hàng đầu </w:t>
            </w:r>
            <w:r>
              <w:t xml:space="preserve">khi có quyết định sau khi </w:t>
            </w:r>
            <w:r w:rsidRPr="008C1C22">
              <w:t xml:space="preserve">nhận </w:t>
            </w:r>
            <w:r>
              <w:t>được đơn tố cáo</w:t>
            </w:r>
            <w:r w:rsidRPr="008C1C22">
              <w:t>, thực sự xem xét nguyện vọng của họ và tác động các quyết định đó có thể gây ra đối với họ, đồng thời</w:t>
            </w:r>
            <w:r>
              <w:t>,</w:t>
            </w:r>
            <w:r w:rsidRPr="008C1C22">
              <w:t xml:space="preserve"> luôn đảm bảo an toàn và sức khỏe của n</w:t>
            </w:r>
            <w:r>
              <w:t>gười tố cáo</w:t>
            </w:r>
            <w:r w:rsidRPr="008C1C22">
              <w:t xml:space="preserve"> cũng như </w:t>
            </w:r>
            <w:r>
              <w:t>Sinh viên và Nhân viên khác</w:t>
            </w:r>
            <w:r w:rsidRPr="008C1C22">
              <w:t>.</w:t>
            </w:r>
          </w:p>
        </w:tc>
      </w:tr>
      <w:tr w:rsidR="000C0BAF" w14:paraId="3F084D6B" w14:textId="77777777" w:rsidTr="00C76A1C">
        <w:tc>
          <w:tcPr>
            <w:tcW w:w="2500" w:type="pct"/>
          </w:tcPr>
          <w:p w14:paraId="121EB1B7" w14:textId="77777777" w:rsidR="000C0BAF" w:rsidRPr="00860FD8" w:rsidRDefault="000C0BAF" w:rsidP="00514BE1">
            <w:r w:rsidRPr="008C1C22">
              <w:t>Prevention</w:t>
            </w:r>
          </w:p>
        </w:tc>
        <w:tc>
          <w:tcPr>
            <w:tcW w:w="2500" w:type="pct"/>
          </w:tcPr>
          <w:p w14:paraId="54554654" w14:textId="77777777" w:rsidR="000C0BAF" w:rsidRPr="00860FD8" w:rsidRDefault="000C0BAF" w:rsidP="000D2608">
            <w:r>
              <w:t>Ngăn ngừa</w:t>
            </w:r>
          </w:p>
        </w:tc>
      </w:tr>
      <w:tr w:rsidR="000C0BAF" w14:paraId="30D1F024" w14:textId="77777777" w:rsidTr="00C76A1C">
        <w:tc>
          <w:tcPr>
            <w:tcW w:w="2500" w:type="pct"/>
          </w:tcPr>
          <w:p w14:paraId="259F3BA6" w14:textId="77777777" w:rsidR="000C0BAF" w:rsidRPr="00860FD8" w:rsidRDefault="000C0BAF" w:rsidP="00514BE1">
            <w:r w:rsidRPr="008C1C22">
              <w:t>prevention describes proactive efforts aimed at stopping Gender-based Violence before it occurs. It includes primary prevention (targeting the underlying drivers of Gender-based Violence), secondary prevention (early intervention to address risks), and tertiary prevention (responding to incidents to provide support and recovery for those affected by Gender-based Violence).</w:t>
            </w:r>
          </w:p>
        </w:tc>
        <w:tc>
          <w:tcPr>
            <w:tcW w:w="2500" w:type="pct"/>
          </w:tcPr>
          <w:p w14:paraId="77ED6BFC" w14:textId="77777777" w:rsidR="000C0BAF" w:rsidRPr="00860FD8" w:rsidRDefault="000C0BAF" w:rsidP="000D2608">
            <w:r>
              <w:t>ngăn ngừa</w:t>
            </w:r>
            <w:r w:rsidRPr="008C1C22">
              <w:t xml:space="preserve"> mô tả những nỗ lực chủ động nhằm ngăn chặn </w:t>
            </w:r>
            <w:r>
              <w:t>Bạo lực Giới tính</w:t>
            </w:r>
            <w:r w:rsidRPr="008C1C22">
              <w:t xml:space="preserve"> trước khi </w:t>
            </w:r>
            <w:r>
              <w:t>chuyện đó</w:t>
            </w:r>
            <w:r w:rsidRPr="008C1C22">
              <w:t xml:space="preserve"> xảy ra. </w:t>
            </w:r>
            <w:r>
              <w:t>Điều này</w:t>
            </w:r>
            <w:r w:rsidRPr="008C1C22">
              <w:t xml:space="preserve"> bao gồm </w:t>
            </w:r>
            <w:r>
              <w:t>ngăn ngừa cấp một</w:t>
            </w:r>
            <w:r w:rsidRPr="008C1C22">
              <w:t xml:space="preserve"> (nhắm vào các nguyên nhân gốc rễ của </w:t>
            </w:r>
            <w:r>
              <w:t>Bạo lực Giới tính</w:t>
            </w:r>
            <w:r w:rsidRPr="008C1C22">
              <w:t xml:space="preserve">), </w:t>
            </w:r>
            <w:r>
              <w:t>ngăn ngừa</w:t>
            </w:r>
            <w:r w:rsidRPr="008C1C22">
              <w:t xml:space="preserve"> cấp hai (can thiệp sớm để giải quyết các </w:t>
            </w:r>
            <w:r>
              <w:t>nguy cơ</w:t>
            </w:r>
            <w:r w:rsidRPr="008C1C22">
              <w:t xml:space="preserve">) và </w:t>
            </w:r>
            <w:r>
              <w:t>ngăn ngừa</w:t>
            </w:r>
            <w:r w:rsidRPr="008C1C22">
              <w:t xml:space="preserve"> cấp ba (ứng phó với các </w:t>
            </w:r>
            <w:r>
              <w:t>sự việc</w:t>
            </w:r>
            <w:r w:rsidRPr="008C1C22">
              <w:t xml:space="preserve"> để hỗ trợ và </w:t>
            </w:r>
            <w:r>
              <w:t>giúp</w:t>
            </w:r>
            <w:r w:rsidRPr="008C1C22">
              <w:t xml:space="preserve"> người bị ảnh hưởng bởi </w:t>
            </w:r>
            <w:r>
              <w:t>Bạo lực Giới tính</w:t>
            </w:r>
            <w:r w:rsidRPr="008C1C22">
              <w:t xml:space="preserve"> phục hồi).</w:t>
            </w:r>
          </w:p>
        </w:tc>
      </w:tr>
      <w:tr w:rsidR="000C0BAF" w14:paraId="6E955901" w14:textId="77777777" w:rsidTr="00C76A1C">
        <w:tc>
          <w:tcPr>
            <w:tcW w:w="2500" w:type="pct"/>
          </w:tcPr>
          <w:p w14:paraId="6D0675E8" w14:textId="77777777" w:rsidR="000C0BAF" w:rsidRPr="00860FD8" w:rsidRDefault="000C0BAF" w:rsidP="00514BE1">
            <w:r w:rsidRPr="008C1C22">
              <w:t>Procedural fairness</w:t>
            </w:r>
          </w:p>
        </w:tc>
        <w:tc>
          <w:tcPr>
            <w:tcW w:w="2500" w:type="pct"/>
          </w:tcPr>
          <w:p w14:paraId="5F746473" w14:textId="77777777" w:rsidR="000C0BAF" w:rsidRPr="00860FD8" w:rsidRDefault="000C0BAF" w:rsidP="000D2608">
            <w:r w:rsidRPr="008C1C22">
              <w:t>Công bằng về thủ tục</w:t>
            </w:r>
          </w:p>
        </w:tc>
      </w:tr>
      <w:tr w:rsidR="000C0BAF" w14:paraId="596C0AF1" w14:textId="77777777" w:rsidTr="00C76A1C">
        <w:tc>
          <w:tcPr>
            <w:tcW w:w="2500" w:type="pct"/>
          </w:tcPr>
          <w:p w14:paraId="64B4B6A4" w14:textId="77777777" w:rsidR="000C0BAF" w:rsidRPr="00860FD8" w:rsidRDefault="000C0BAF" w:rsidP="00514BE1">
            <w:r w:rsidRPr="008C1C22">
              <w:t>procedural fairness may also be known as natural justice. Procedural fairness ensures that all parties involved in an investigation are treated justly and without bias, with the right to be heard, to know the case against them and to have decisions made by impartial decision-makers.</w:t>
            </w:r>
          </w:p>
        </w:tc>
        <w:tc>
          <w:tcPr>
            <w:tcW w:w="2500" w:type="pct"/>
          </w:tcPr>
          <w:p w14:paraId="17514B28" w14:textId="77777777" w:rsidR="000C0BAF" w:rsidRPr="00860FD8" w:rsidRDefault="000C0BAF" w:rsidP="000D2608">
            <w:r>
              <w:t>c</w:t>
            </w:r>
            <w:r w:rsidRPr="008C1C22">
              <w:t xml:space="preserve">ông bằng thủ tục cũng </w:t>
            </w:r>
            <w:r>
              <w:t>có khi gọi là</w:t>
            </w:r>
            <w:r w:rsidRPr="008C1C22">
              <w:t xml:space="preserve"> công lý tự nhiên. Công bằng thủ tục đảm bảo rằng tất cả các bên liên quan trong cuộc điều tra đều được đối xử công bằng và không thiên vị, có quyền được lắng nghe, được biết về cáo </w:t>
            </w:r>
            <w:r>
              <w:t>buộc</w:t>
            </w:r>
            <w:r w:rsidRPr="008C1C22">
              <w:t xml:space="preserve"> </w:t>
            </w:r>
            <w:r>
              <w:t>đối với</w:t>
            </w:r>
            <w:r w:rsidRPr="008C1C22">
              <w:t xml:space="preserve"> họ và </w:t>
            </w:r>
            <w:r>
              <w:t xml:space="preserve">do </w:t>
            </w:r>
            <w:r w:rsidRPr="008C1C22">
              <w:t xml:space="preserve">những người </w:t>
            </w:r>
            <w:r>
              <w:t>q</w:t>
            </w:r>
            <w:r w:rsidRPr="008C1C22">
              <w:t xml:space="preserve">uyết định </w:t>
            </w:r>
            <w:r>
              <w:t xml:space="preserve">khách quan </w:t>
            </w:r>
            <w:r w:rsidRPr="008C1C22">
              <w:t>quyết định.</w:t>
            </w:r>
          </w:p>
        </w:tc>
      </w:tr>
      <w:tr w:rsidR="000C0BAF" w14:paraId="2BC7705D" w14:textId="77777777" w:rsidTr="00C76A1C">
        <w:tc>
          <w:tcPr>
            <w:tcW w:w="2500" w:type="pct"/>
          </w:tcPr>
          <w:p w14:paraId="451F7B67" w14:textId="77777777" w:rsidR="000C0BAF" w:rsidRPr="00860FD8" w:rsidRDefault="000C0BAF" w:rsidP="00514BE1">
            <w:r w:rsidRPr="008C1C22">
              <w:t>Respondent</w:t>
            </w:r>
          </w:p>
        </w:tc>
        <w:tc>
          <w:tcPr>
            <w:tcW w:w="2500" w:type="pct"/>
          </w:tcPr>
          <w:p w14:paraId="45877DDA" w14:textId="77777777" w:rsidR="000C0BAF" w:rsidRPr="00860FD8" w:rsidRDefault="000C0BAF" w:rsidP="000D2608">
            <w:r>
              <w:t>Người bị tố cáo</w:t>
            </w:r>
          </w:p>
        </w:tc>
      </w:tr>
      <w:tr w:rsidR="000C0BAF" w14:paraId="1B9C43E1" w14:textId="77777777" w:rsidTr="00C76A1C">
        <w:tc>
          <w:tcPr>
            <w:tcW w:w="2500" w:type="pct"/>
          </w:tcPr>
          <w:p w14:paraId="42DA6191" w14:textId="77777777" w:rsidR="000C0BAF" w:rsidRPr="00860FD8" w:rsidRDefault="000C0BAF" w:rsidP="00514BE1">
            <w:r w:rsidRPr="008C1C22">
              <w:t>a person who is alleged to have engaged in behaviour or actions that constitute a violation of the Prevention of and Response to Gender-based Violence Policy.</w:t>
            </w:r>
          </w:p>
        </w:tc>
        <w:tc>
          <w:tcPr>
            <w:tcW w:w="2500" w:type="pct"/>
          </w:tcPr>
          <w:p w14:paraId="0AD8C579" w14:textId="77777777" w:rsidR="000C0BAF" w:rsidRPr="00860FD8" w:rsidRDefault="000C0BAF" w:rsidP="000D2608">
            <w:r>
              <w:t>là người bị cáo buộc đã</w:t>
            </w:r>
            <w:r w:rsidRPr="008C1C22">
              <w:t xml:space="preserve"> có hành vi hoặc hành động </w:t>
            </w:r>
            <w:r>
              <w:t xml:space="preserve">cấu thành </w:t>
            </w:r>
            <w:r w:rsidRPr="008C1C22">
              <w:t xml:space="preserve">vi phạm Chính sách </w:t>
            </w:r>
            <w:r>
              <w:t>Ngăn ngừa</w:t>
            </w:r>
            <w:r w:rsidRPr="008C1C22">
              <w:t xml:space="preserve"> và Ứng phó với </w:t>
            </w:r>
            <w:r>
              <w:t>Bạo lực Giới tính</w:t>
            </w:r>
            <w:r w:rsidRPr="008C1C22">
              <w:t>.</w:t>
            </w:r>
          </w:p>
        </w:tc>
      </w:tr>
      <w:tr w:rsidR="000C0BAF" w14:paraId="7E6D43A6" w14:textId="77777777" w:rsidTr="00C76A1C">
        <w:tc>
          <w:tcPr>
            <w:tcW w:w="2500" w:type="pct"/>
          </w:tcPr>
          <w:p w14:paraId="1F138F5B" w14:textId="77777777" w:rsidR="000C0BAF" w:rsidRPr="00860FD8" w:rsidRDefault="000C0BAF" w:rsidP="00514BE1">
            <w:r w:rsidRPr="008C1C22">
              <w:t>Sexual harassment</w:t>
            </w:r>
          </w:p>
        </w:tc>
        <w:tc>
          <w:tcPr>
            <w:tcW w:w="2500" w:type="pct"/>
          </w:tcPr>
          <w:p w14:paraId="11BB51FC" w14:textId="77777777" w:rsidR="000C0BAF" w:rsidRPr="00860FD8" w:rsidRDefault="000C0BAF" w:rsidP="000D2608">
            <w:r w:rsidRPr="008C1C22">
              <w:t>Quấy rối tình dục</w:t>
            </w:r>
          </w:p>
        </w:tc>
      </w:tr>
      <w:tr w:rsidR="000C0BAF" w14:paraId="6A4DB726" w14:textId="77777777" w:rsidTr="00C76A1C">
        <w:tc>
          <w:tcPr>
            <w:tcW w:w="2500" w:type="pct"/>
          </w:tcPr>
          <w:p w14:paraId="31C7EC51" w14:textId="77777777" w:rsidR="000C0BAF" w:rsidRPr="00860FD8" w:rsidRDefault="000C0BAF" w:rsidP="00514BE1">
            <w:r w:rsidRPr="008C1C22">
              <w:t>sexual harassment describes a circumstance in which a person makes an unwelcome sexual advance, or an unwelcome request for sexual favours, and/or engages in any other unwelcome conduct of a sexual nature to another person. It includes behaviours such as intrusive questions about a person’s private life, and offensive sexual comments or jokes. A full definition can be found in the Sex Discrimination Act 1984 (Cth), s28A.</w:t>
            </w:r>
          </w:p>
        </w:tc>
        <w:tc>
          <w:tcPr>
            <w:tcW w:w="2500" w:type="pct"/>
          </w:tcPr>
          <w:p w14:paraId="21AAE36B" w14:textId="77777777" w:rsidR="000C0BAF" w:rsidRPr="00860FD8" w:rsidRDefault="000C0BAF" w:rsidP="000D2608">
            <w:r>
              <w:t>q</w:t>
            </w:r>
            <w:r w:rsidRPr="008C1C22">
              <w:t xml:space="preserve">uấy rối tình dục mô tả trường hợp </w:t>
            </w:r>
            <w:r>
              <w:t>cá nhân</w:t>
            </w:r>
            <w:r w:rsidRPr="008C1C22">
              <w:t xml:space="preserve"> có hành vi tán tỉnh tình dục không mong muốn, hoặc yêu cầu quan hệ tình dục không mong muốn, và/hoặc </w:t>
            </w:r>
            <w:r>
              <w:t>tham gia</w:t>
            </w:r>
            <w:r w:rsidRPr="008C1C22">
              <w:t xml:space="preserve"> bất kỳ hành vi nào khác có tính chất tình dục không mong muốn đối với người khác. Quấy rối tình dục bao gồm các hành vi như đặt câu hỏi xâm phạm đời tư </w:t>
            </w:r>
            <w:r>
              <w:t>cá nhân</w:t>
            </w:r>
            <w:r w:rsidRPr="008C1C22">
              <w:t xml:space="preserve">, và lời bình luận hoặc trò đùa tình dục xúc phạm. </w:t>
            </w:r>
            <w:r>
              <w:t>T</w:t>
            </w:r>
            <w:r w:rsidRPr="008C1C22">
              <w:t xml:space="preserve">rong Đạo luật Phân biệt đối xử </w:t>
            </w:r>
            <w:r>
              <w:t>G</w:t>
            </w:r>
            <w:r w:rsidRPr="008C1C22">
              <w:t>iới tính 1984 (</w:t>
            </w:r>
            <w:r>
              <w:t>Lbang</w:t>
            </w:r>
            <w:r w:rsidRPr="008C1C22">
              <w:t xml:space="preserve">), </w:t>
            </w:r>
            <w:r>
              <w:t xml:space="preserve">mục </w:t>
            </w:r>
            <w:r w:rsidRPr="008C1C22">
              <w:t>28A</w:t>
            </w:r>
            <w:r>
              <w:t xml:space="preserve"> có đ</w:t>
            </w:r>
            <w:r w:rsidRPr="008C1C22">
              <w:t>ịnh nghĩa đầy đủ.</w:t>
            </w:r>
          </w:p>
        </w:tc>
      </w:tr>
      <w:tr w:rsidR="000C0BAF" w14:paraId="264C178A" w14:textId="77777777" w:rsidTr="00C76A1C">
        <w:tc>
          <w:tcPr>
            <w:tcW w:w="2500" w:type="pct"/>
          </w:tcPr>
          <w:p w14:paraId="29D0A056" w14:textId="77777777" w:rsidR="000C0BAF" w:rsidRPr="00860FD8" w:rsidRDefault="000C0BAF" w:rsidP="00514BE1">
            <w:r w:rsidRPr="008C1C22">
              <w:t>Staff Member</w:t>
            </w:r>
          </w:p>
        </w:tc>
        <w:tc>
          <w:tcPr>
            <w:tcW w:w="2500" w:type="pct"/>
          </w:tcPr>
          <w:p w14:paraId="2E758A6E" w14:textId="77777777" w:rsidR="000C0BAF" w:rsidRPr="00860FD8" w:rsidRDefault="000C0BAF" w:rsidP="000D2608">
            <w:r w:rsidRPr="008C1C22">
              <w:t>Nhân viên</w:t>
            </w:r>
          </w:p>
        </w:tc>
      </w:tr>
      <w:tr w:rsidR="000C0BAF" w14:paraId="56B2C292" w14:textId="77777777" w:rsidTr="00C76A1C">
        <w:tc>
          <w:tcPr>
            <w:tcW w:w="2500" w:type="pct"/>
          </w:tcPr>
          <w:p w14:paraId="228D8796" w14:textId="77777777" w:rsidR="000C0BAF" w:rsidRPr="00860FD8" w:rsidRDefault="000C0BAF" w:rsidP="00514BE1">
            <w:r w:rsidRPr="008C1C22">
              <w:t>Any person who carries out work in any capacity for the University, including:</w:t>
            </w:r>
          </w:p>
        </w:tc>
        <w:tc>
          <w:tcPr>
            <w:tcW w:w="2500" w:type="pct"/>
          </w:tcPr>
          <w:p w14:paraId="6B639ACF" w14:textId="77777777" w:rsidR="000C0BAF" w:rsidRPr="00860FD8" w:rsidRDefault="000C0BAF" w:rsidP="000D2608">
            <w:r w:rsidRPr="008C1C22">
              <w:t xml:space="preserve">Bất kỳ cá nhân nào thực hiện công việc cho </w:t>
            </w:r>
            <w:r>
              <w:t>trường Đại họ</w:t>
            </w:r>
            <w:r w:rsidRPr="008C1C22">
              <w:t xml:space="preserve">c </w:t>
            </w:r>
            <w:r>
              <w:t>trong bất kỳ cương</w:t>
            </w:r>
            <w:r w:rsidRPr="008C1C22">
              <w:t xml:space="preserve"> vị nào, bao gồm:</w:t>
            </w:r>
          </w:p>
        </w:tc>
      </w:tr>
      <w:tr w:rsidR="000C0BAF" w14:paraId="0BA439AC" w14:textId="77777777" w:rsidTr="00C76A1C">
        <w:tc>
          <w:tcPr>
            <w:tcW w:w="2500" w:type="pct"/>
          </w:tcPr>
          <w:p w14:paraId="4E49E9E5" w14:textId="77777777" w:rsidR="000C0BAF" w:rsidRPr="008C1C22" w:rsidRDefault="000C0BAF" w:rsidP="00514BE1">
            <w:pPr>
              <w:numPr>
                <w:ilvl w:val="0"/>
                <w:numId w:val="7"/>
              </w:numPr>
            </w:pPr>
            <w:r w:rsidRPr="008C1C22">
              <w:t>leaders; </w:t>
            </w:r>
          </w:p>
          <w:p w14:paraId="7AB2A87E" w14:textId="77777777" w:rsidR="000C0BAF" w:rsidRPr="008C1C22" w:rsidRDefault="000C0BAF" w:rsidP="00514BE1">
            <w:pPr>
              <w:numPr>
                <w:ilvl w:val="0"/>
                <w:numId w:val="7"/>
              </w:numPr>
            </w:pPr>
            <w:r w:rsidRPr="008C1C22">
              <w:t>employees (whether or not they are employed under the Enterprise Agreement including full-time, part-time, and fixed term employees); </w:t>
            </w:r>
          </w:p>
          <w:p w14:paraId="5FEE6534" w14:textId="77777777" w:rsidR="000C0BAF" w:rsidRPr="008C1C22" w:rsidRDefault="000C0BAF" w:rsidP="00514BE1">
            <w:pPr>
              <w:numPr>
                <w:ilvl w:val="0"/>
                <w:numId w:val="7"/>
              </w:numPr>
            </w:pPr>
            <w:r w:rsidRPr="008C1C22">
              <w:t>contractors and their employees; </w:t>
            </w:r>
          </w:p>
          <w:p w14:paraId="308839A8" w14:textId="77777777" w:rsidR="000C0BAF" w:rsidRPr="008C1C22" w:rsidRDefault="000C0BAF" w:rsidP="00514BE1">
            <w:pPr>
              <w:numPr>
                <w:ilvl w:val="0"/>
                <w:numId w:val="7"/>
              </w:numPr>
            </w:pPr>
            <w:r w:rsidRPr="008C1C22">
              <w:t>third party providers performing work for the University;</w:t>
            </w:r>
          </w:p>
          <w:p w14:paraId="522AE512" w14:textId="77777777" w:rsidR="000C0BAF" w:rsidRPr="008C1C22" w:rsidRDefault="000C0BAF" w:rsidP="00514BE1">
            <w:pPr>
              <w:numPr>
                <w:ilvl w:val="0"/>
                <w:numId w:val="7"/>
              </w:numPr>
            </w:pPr>
            <w:r w:rsidRPr="008C1C22">
              <w:t>employees of a labour hire company assigned to work in the University;</w:t>
            </w:r>
          </w:p>
          <w:p w14:paraId="646491F0" w14:textId="77777777" w:rsidR="000C0BAF" w:rsidRPr="008C1C22" w:rsidRDefault="000C0BAF" w:rsidP="00514BE1">
            <w:pPr>
              <w:numPr>
                <w:ilvl w:val="0"/>
                <w:numId w:val="7"/>
              </w:numPr>
            </w:pPr>
            <w:r w:rsidRPr="008C1C22">
              <w:t>apprentices or trainees;</w:t>
            </w:r>
          </w:p>
          <w:p w14:paraId="3748BDDB" w14:textId="77777777" w:rsidR="000C0BAF" w:rsidRPr="008C1C22" w:rsidRDefault="000C0BAF" w:rsidP="00514BE1">
            <w:pPr>
              <w:numPr>
                <w:ilvl w:val="0"/>
                <w:numId w:val="7"/>
              </w:numPr>
            </w:pPr>
            <w:r w:rsidRPr="008C1C22">
              <w:t>academic title holders, visiting academics, emeritus professors, adjunct and honorary title holders, industry fellows and conjoint appointment holders; and </w:t>
            </w:r>
          </w:p>
          <w:p w14:paraId="50FD79DC" w14:textId="77777777" w:rsidR="000C0BAF" w:rsidRPr="00860FD8" w:rsidRDefault="000C0BAF" w:rsidP="00514BE1">
            <w:pPr>
              <w:numPr>
                <w:ilvl w:val="0"/>
                <w:numId w:val="7"/>
              </w:numPr>
            </w:pPr>
            <w:r w:rsidRPr="008C1C22">
              <w:t>other persons acting in an honorary or voluntary capacity for the University, including work experience students.</w:t>
            </w:r>
          </w:p>
        </w:tc>
        <w:tc>
          <w:tcPr>
            <w:tcW w:w="2500" w:type="pct"/>
          </w:tcPr>
          <w:p w14:paraId="6187B664" w14:textId="77777777" w:rsidR="000C0BAF" w:rsidRPr="008C1C22" w:rsidRDefault="000C0BAF" w:rsidP="000C0BAF">
            <w:pPr>
              <w:numPr>
                <w:ilvl w:val="0"/>
                <w:numId w:val="7"/>
              </w:numPr>
            </w:pPr>
            <w:r w:rsidRPr="008C1C22">
              <w:t>cá</w:t>
            </w:r>
            <w:r>
              <w:t>c lãnh</w:t>
            </w:r>
            <w:r w:rsidRPr="008C1C22">
              <w:t xml:space="preserve"> đạo;</w:t>
            </w:r>
          </w:p>
          <w:p w14:paraId="7B2F5F8E" w14:textId="77777777" w:rsidR="000C0BAF" w:rsidRPr="008C1C22" w:rsidRDefault="000C0BAF" w:rsidP="000C0BAF">
            <w:pPr>
              <w:numPr>
                <w:ilvl w:val="0"/>
                <w:numId w:val="7"/>
              </w:numPr>
            </w:pPr>
            <w:r>
              <w:t>nhân viên</w:t>
            </w:r>
            <w:r w:rsidRPr="008C1C22">
              <w:t xml:space="preserve"> (bất </w:t>
            </w:r>
            <w:r>
              <w:t>kể được</w:t>
            </w:r>
            <w:r w:rsidRPr="008C1C22">
              <w:t xml:space="preserve"> tuyển dụng theo </w:t>
            </w:r>
            <w:r>
              <w:t>Thỏa ước Tập thể</w:t>
            </w:r>
            <w:r w:rsidRPr="008C1C22">
              <w:t xml:space="preserve"> hay không, </w:t>
            </w:r>
            <w:r>
              <w:t>kể cả</w:t>
            </w:r>
            <w:r w:rsidRPr="008C1C22">
              <w:t xml:space="preserve"> </w:t>
            </w:r>
            <w:r>
              <w:t>nhân viên</w:t>
            </w:r>
            <w:r w:rsidRPr="008C1C22">
              <w:t xml:space="preserve"> toàn thời gian, bán thời gian và </w:t>
            </w:r>
            <w:r>
              <w:t>nhân viên</w:t>
            </w:r>
            <w:r w:rsidRPr="008C1C22">
              <w:t xml:space="preserve"> có thời hạn);</w:t>
            </w:r>
          </w:p>
          <w:p w14:paraId="6EA16C54" w14:textId="77777777" w:rsidR="000C0BAF" w:rsidRPr="008C1C22" w:rsidRDefault="000C0BAF" w:rsidP="000C0BAF">
            <w:pPr>
              <w:numPr>
                <w:ilvl w:val="0"/>
                <w:numId w:val="7"/>
              </w:numPr>
            </w:pPr>
            <w:r w:rsidRPr="008C1C22">
              <w:t xml:space="preserve">các nhà thầu và </w:t>
            </w:r>
            <w:r>
              <w:t>nhân viên</w:t>
            </w:r>
            <w:r w:rsidRPr="008C1C22">
              <w:t xml:space="preserve"> của họ;</w:t>
            </w:r>
          </w:p>
          <w:p w14:paraId="67CC5F03" w14:textId="77777777" w:rsidR="000C0BAF" w:rsidRPr="008C1C22" w:rsidRDefault="000C0BAF" w:rsidP="000C0BAF">
            <w:pPr>
              <w:numPr>
                <w:ilvl w:val="0"/>
                <w:numId w:val="7"/>
              </w:numPr>
            </w:pPr>
            <w:r>
              <w:t>c</w:t>
            </w:r>
            <w:r w:rsidRPr="008C1C22">
              <w:t xml:space="preserve">ác nhà cung cấp bên thứ ba thực hiện công việc cho </w:t>
            </w:r>
            <w:r>
              <w:t>trường Đại họ</w:t>
            </w:r>
            <w:r w:rsidRPr="008C1C22">
              <w:t>c;</w:t>
            </w:r>
          </w:p>
          <w:p w14:paraId="6203EB31" w14:textId="77777777" w:rsidR="000C0BAF" w:rsidRPr="008C1C22" w:rsidRDefault="000C0BAF" w:rsidP="000C0BAF">
            <w:pPr>
              <w:numPr>
                <w:ilvl w:val="0"/>
                <w:numId w:val="7"/>
              </w:numPr>
            </w:pPr>
            <w:r>
              <w:t>nhân viên</w:t>
            </w:r>
            <w:r w:rsidRPr="008C1C22">
              <w:t xml:space="preserve"> của công ty cung ứng lao động được phân công làm việc tại </w:t>
            </w:r>
            <w:r>
              <w:t>trường Đại họ</w:t>
            </w:r>
            <w:r w:rsidRPr="008C1C22">
              <w:t>c;</w:t>
            </w:r>
          </w:p>
          <w:p w14:paraId="4D00EF9F" w14:textId="77777777" w:rsidR="000C0BAF" w:rsidRPr="008C1C22" w:rsidRDefault="000C0BAF" w:rsidP="000C0BAF">
            <w:pPr>
              <w:numPr>
                <w:ilvl w:val="0"/>
                <w:numId w:val="7"/>
              </w:numPr>
            </w:pPr>
            <w:r>
              <w:t>người học nghề</w:t>
            </w:r>
            <w:r w:rsidRPr="008C1C22">
              <w:t xml:space="preserve"> </w:t>
            </w:r>
            <w:r>
              <w:t>(</w:t>
            </w:r>
            <w:r w:rsidRPr="008C1C22">
              <w:t>apprentice</w:t>
            </w:r>
            <w:r>
              <w:t xml:space="preserve">) </w:t>
            </w:r>
            <w:r w:rsidRPr="008C1C22">
              <w:t>hoặc người học việc</w:t>
            </w:r>
            <w:r>
              <w:t xml:space="preserve"> (</w:t>
            </w:r>
            <w:r w:rsidRPr="008C1C22">
              <w:t>trainee</w:t>
            </w:r>
            <w:r>
              <w:t>)</w:t>
            </w:r>
            <w:r w:rsidRPr="008C1C22">
              <w:t>;</w:t>
            </w:r>
          </w:p>
          <w:p w14:paraId="3CDFE75B" w14:textId="77777777" w:rsidR="000C0BAF" w:rsidRPr="008C1C22" w:rsidRDefault="000C0BAF" w:rsidP="000C0BAF">
            <w:pPr>
              <w:numPr>
                <w:ilvl w:val="0"/>
                <w:numId w:val="7"/>
              </w:numPr>
            </w:pPr>
            <w:r w:rsidRPr="008C1C22">
              <w:t xml:space="preserve">người </w:t>
            </w:r>
            <w:r w:rsidR="00331AC1">
              <w:t>có</w:t>
            </w:r>
            <w:r w:rsidRPr="008C1C22">
              <w:t xml:space="preserve"> học vị, học giả thỉnh giảng, giáo sư emeritus, giáo sư </w:t>
            </w:r>
            <w:r w:rsidR="00331AC1" w:rsidRPr="008C1C22">
              <w:t>thỉnh giảng</w:t>
            </w:r>
            <w:r w:rsidRPr="008C1C22">
              <w:t xml:space="preserve"> và giáo sư danh dự, nghiên cứu </w:t>
            </w:r>
            <w:r>
              <w:t>viên công nghiệp</w:t>
            </w:r>
            <w:r w:rsidRPr="008C1C22">
              <w:t xml:space="preserve"> và người giữ chức vụ kiêm nhiệm; và</w:t>
            </w:r>
          </w:p>
          <w:p w14:paraId="720AD7A5" w14:textId="77777777" w:rsidR="000C0BAF" w:rsidRPr="00860FD8" w:rsidRDefault="000C0BAF" w:rsidP="000C0BAF">
            <w:pPr>
              <w:numPr>
                <w:ilvl w:val="0"/>
                <w:numId w:val="7"/>
              </w:numPr>
            </w:pPr>
            <w:r>
              <w:t>n</w:t>
            </w:r>
            <w:r w:rsidRPr="008C1C22">
              <w:t xml:space="preserve">hững người khác làm việc cho </w:t>
            </w:r>
            <w:r>
              <w:t>trường Đại họ</w:t>
            </w:r>
            <w:r w:rsidRPr="008C1C22">
              <w:t xml:space="preserve">c với tư cách danh dự hoặc tình nguyện, </w:t>
            </w:r>
            <w:r>
              <w:t>kể cả</w:t>
            </w:r>
            <w:r w:rsidRPr="008C1C22">
              <w:t xml:space="preserve"> sinh viên thực tập.</w:t>
            </w:r>
          </w:p>
        </w:tc>
      </w:tr>
      <w:tr w:rsidR="000C0BAF" w14:paraId="62DBA2B3" w14:textId="77777777" w:rsidTr="00C76A1C">
        <w:tc>
          <w:tcPr>
            <w:tcW w:w="2500" w:type="pct"/>
          </w:tcPr>
          <w:p w14:paraId="26CE6591" w14:textId="77777777" w:rsidR="000C0BAF" w:rsidRPr="00860FD8" w:rsidRDefault="000C0BAF" w:rsidP="00514BE1">
            <w:r w:rsidRPr="008C1C22">
              <w:t>Student</w:t>
            </w:r>
          </w:p>
        </w:tc>
        <w:tc>
          <w:tcPr>
            <w:tcW w:w="2500" w:type="pct"/>
          </w:tcPr>
          <w:p w14:paraId="1A0A84D6" w14:textId="77777777" w:rsidR="000C0BAF" w:rsidRPr="00860FD8" w:rsidRDefault="000C0BAF" w:rsidP="000D2608">
            <w:r>
              <w:t>Sinh viên</w:t>
            </w:r>
          </w:p>
        </w:tc>
      </w:tr>
      <w:tr w:rsidR="000C0BAF" w14:paraId="34E0EF50" w14:textId="77777777" w:rsidTr="00C76A1C">
        <w:tc>
          <w:tcPr>
            <w:tcW w:w="2500" w:type="pct"/>
          </w:tcPr>
          <w:p w14:paraId="721868BF" w14:textId="77777777" w:rsidR="000C0BAF" w:rsidRPr="00860FD8" w:rsidRDefault="000C0BAF" w:rsidP="00514BE1">
            <w:r w:rsidRPr="008C1C22">
              <w:t xml:space="preserve">as defined in the </w:t>
            </w:r>
            <w:r w:rsidRPr="008C1C22">
              <w:rPr>
                <w:u w:val="single"/>
              </w:rPr>
              <w:t>University policy glossary</w:t>
            </w:r>
            <w:r w:rsidRPr="008C1C22">
              <w:t>.</w:t>
            </w:r>
          </w:p>
        </w:tc>
        <w:tc>
          <w:tcPr>
            <w:tcW w:w="2500" w:type="pct"/>
          </w:tcPr>
          <w:p w14:paraId="0B826477" w14:textId="77777777" w:rsidR="000C0BAF" w:rsidRPr="00860FD8" w:rsidRDefault="000C0BAF" w:rsidP="000D2608">
            <w:r w:rsidRPr="008C1C22">
              <w:t xml:space="preserve">như định nghĩa trong </w:t>
            </w:r>
            <w:r w:rsidRPr="008C1C22">
              <w:rPr>
                <w:u w:val="single"/>
              </w:rPr>
              <w:t xml:space="preserve">bảng thuật ngữ chính sách </w:t>
            </w:r>
            <w:r>
              <w:rPr>
                <w:u w:val="single"/>
              </w:rPr>
              <w:t>trường Đại họ</w:t>
            </w:r>
            <w:r w:rsidRPr="008C1C22">
              <w:rPr>
                <w:u w:val="single"/>
              </w:rPr>
              <w:t>c</w:t>
            </w:r>
            <w:r w:rsidRPr="008C1C22">
              <w:t>.</w:t>
            </w:r>
          </w:p>
        </w:tc>
      </w:tr>
      <w:tr w:rsidR="000C0BAF" w14:paraId="531D1FE3" w14:textId="77777777" w:rsidTr="00C76A1C">
        <w:tc>
          <w:tcPr>
            <w:tcW w:w="2500" w:type="pct"/>
          </w:tcPr>
          <w:p w14:paraId="0A92C823" w14:textId="77777777" w:rsidR="000C0BAF" w:rsidRPr="00860FD8" w:rsidRDefault="000C0BAF" w:rsidP="00514BE1">
            <w:r w:rsidRPr="008C1C22">
              <w:t xml:space="preserve">Trauma-informed support </w:t>
            </w:r>
            <w:r w:rsidRPr="008C1C22">
              <w:tab/>
            </w:r>
          </w:p>
        </w:tc>
        <w:tc>
          <w:tcPr>
            <w:tcW w:w="2500" w:type="pct"/>
          </w:tcPr>
          <w:p w14:paraId="6A70AEDC" w14:textId="77777777" w:rsidR="000C0BAF" w:rsidRPr="00860FD8" w:rsidRDefault="000C0BAF" w:rsidP="000D2608">
            <w:r w:rsidRPr="008C1C22">
              <w:t xml:space="preserve">Hỗ trợ dựa trên hiểu biết về </w:t>
            </w:r>
            <w:r>
              <w:t>sang chấn tâm</w:t>
            </w:r>
            <w:r w:rsidRPr="008C1C22">
              <w:t xml:space="preserve"> lý</w:t>
            </w:r>
            <w:r w:rsidRPr="008C1C22">
              <w:tab/>
            </w:r>
          </w:p>
        </w:tc>
      </w:tr>
      <w:tr w:rsidR="000C0BAF" w14:paraId="7CABBFD3" w14:textId="77777777" w:rsidTr="00C76A1C">
        <w:tc>
          <w:tcPr>
            <w:tcW w:w="2500" w:type="pct"/>
          </w:tcPr>
          <w:p w14:paraId="535ADB36" w14:textId="77777777" w:rsidR="000C0BAF" w:rsidRPr="00860FD8" w:rsidRDefault="000C0BAF" w:rsidP="00514BE1">
            <w:r w:rsidRPr="008C1C22">
              <w:t>trauma-informed support is a strengths-based framework that recognises the impacts of trauma on people who have experienced harm including Gender-based Violence. It focuses on creating physically and psychologically safe environments, trustworthiness, choice, collaboration, empowerment and avoids re-traumatising people who have disclosed or reported their or other people’s experiences.</w:t>
            </w:r>
          </w:p>
        </w:tc>
        <w:tc>
          <w:tcPr>
            <w:tcW w:w="2500" w:type="pct"/>
          </w:tcPr>
          <w:p w14:paraId="310F43D0" w14:textId="77777777" w:rsidR="000C0BAF" w:rsidRPr="00860FD8" w:rsidRDefault="000C0BAF" w:rsidP="000D2608">
            <w:r>
              <w:t>h</w:t>
            </w:r>
            <w:r w:rsidRPr="008C1C22">
              <w:t xml:space="preserve">ỗ trợ dựa trên </w:t>
            </w:r>
            <w:r>
              <w:t>hiểu biết về sang chấn tâm lý</w:t>
            </w:r>
            <w:r w:rsidRPr="008C1C22">
              <w:t xml:space="preserve"> là khuôn khổ dựa trên thế mạnh, nhận biết tác động </w:t>
            </w:r>
            <w:r>
              <w:t>do</w:t>
            </w:r>
            <w:r w:rsidRPr="008C1C22">
              <w:t xml:space="preserve"> </w:t>
            </w:r>
            <w:r>
              <w:t>sang chấn</w:t>
            </w:r>
            <w:r w:rsidRPr="008C1C22">
              <w:t xml:space="preserve"> </w:t>
            </w:r>
            <w:r>
              <w:t xml:space="preserve">gây ra </w:t>
            </w:r>
            <w:r w:rsidRPr="008C1C22">
              <w:t xml:space="preserve">đối với người đã trải qua tổn hại, </w:t>
            </w:r>
            <w:r>
              <w:t>kể cả</w:t>
            </w:r>
            <w:r w:rsidRPr="008C1C22">
              <w:t xml:space="preserve"> </w:t>
            </w:r>
            <w:r>
              <w:t>Bạo lực Giới tính,</w:t>
            </w:r>
            <w:r w:rsidRPr="008C1C22">
              <w:t xml:space="preserve"> tậ</w:t>
            </w:r>
            <w:r>
              <w:t xml:space="preserve">p trung </w:t>
            </w:r>
            <w:r w:rsidRPr="008C1C22">
              <w:t>tạ</w:t>
            </w:r>
            <w:r>
              <w:t xml:space="preserve">o </w:t>
            </w:r>
            <w:r w:rsidRPr="008C1C22">
              <w:t>môi trường an toàn về thể chấ</w:t>
            </w:r>
            <w:r>
              <w:t xml:space="preserve">t và tâm lý, </w:t>
            </w:r>
            <w:r w:rsidRPr="008C1C22">
              <w:t>tin tưởng, quyền lựa chọ</w:t>
            </w:r>
            <w:r>
              <w:t>n,</w:t>
            </w:r>
            <w:r w:rsidRPr="008C1C22">
              <w:t xml:space="preserve"> hợ</w:t>
            </w:r>
            <w:r>
              <w:t xml:space="preserve">p tác, </w:t>
            </w:r>
            <w:r w:rsidRPr="008C1C22">
              <w:t xml:space="preserve">trao quyền và tránh gây tái </w:t>
            </w:r>
            <w:r>
              <w:t>sang chấn</w:t>
            </w:r>
            <w:r w:rsidRPr="008C1C22">
              <w:t xml:space="preserve"> cho người đã </w:t>
            </w:r>
            <w:r>
              <w:t>tố cáo</w:t>
            </w:r>
            <w:r w:rsidRPr="008C1C22">
              <w:t xml:space="preserve"> hoặc báo cáo về trải nghiệm của bản thân hoặc người khác.</w:t>
            </w:r>
          </w:p>
        </w:tc>
      </w:tr>
      <w:tr w:rsidR="000C0BAF" w14:paraId="10015199" w14:textId="77777777" w:rsidTr="00C76A1C">
        <w:tc>
          <w:tcPr>
            <w:tcW w:w="2500" w:type="pct"/>
          </w:tcPr>
          <w:p w14:paraId="0E28F096" w14:textId="77777777" w:rsidR="000C0BAF" w:rsidRPr="00860FD8" w:rsidRDefault="000C0BAF" w:rsidP="00514BE1">
            <w:r w:rsidRPr="008C1C22">
              <w:t>University-related activity</w:t>
            </w:r>
            <w:r w:rsidRPr="008C1C22">
              <w:tab/>
            </w:r>
          </w:p>
        </w:tc>
        <w:tc>
          <w:tcPr>
            <w:tcW w:w="2500" w:type="pct"/>
          </w:tcPr>
          <w:p w14:paraId="0F04D823" w14:textId="77777777" w:rsidR="000C0BAF" w:rsidRPr="00860FD8" w:rsidRDefault="000C0BAF" w:rsidP="000D2608">
            <w:r w:rsidRPr="008C1C22">
              <w:t xml:space="preserve">Hoạt động liên quan đến </w:t>
            </w:r>
            <w:r>
              <w:t>trường Đại họ</w:t>
            </w:r>
            <w:r w:rsidRPr="008C1C22">
              <w:t>c</w:t>
            </w:r>
            <w:r w:rsidRPr="008C1C22">
              <w:tab/>
            </w:r>
          </w:p>
        </w:tc>
      </w:tr>
      <w:tr w:rsidR="000C0BAF" w14:paraId="240A596B" w14:textId="77777777" w:rsidTr="00C76A1C">
        <w:tc>
          <w:tcPr>
            <w:tcW w:w="2500" w:type="pct"/>
          </w:tcPr>
          <w:p w14:paraId="7CD6468F" w14:textId="77777777" w:rsidR="000C0BAF" w:rsidRPr="00860FD8" w:rsidRDefault="000C0BAF" w:rsidP="00514BE1">
            <w:r w:rsidRPr="008C1C22">
              <w:t>university-related activity includes any activity that is connected to Swinburne University of Technology, including activity occurring on University-owned or controlled property, off-campus events sponsored or organised by the University (such as study tours, placements, or conferences), and interactions in online or digital spaces affiliated with the University.</w:t>
            </w:r>
          </w:p>
        </w:tc>
        <w:tc>
          <w:tcPr>
            <w:tcW w:w="2500" w:type="pct"/>
          </w:tcPr>
          <w:p w14:paraId="012F1794" w14:textId="77777777" w:rsidR="000C0BAF" w:rsidRPr="00860FD8" w:rsidRDefault="000C0BAF" w:rsidP="000D2608">
            <w:r>
              <w:t>h</w:t>
            </w:r>
            <w:r w:rsidRPr="008C1C22">
              <w:t xml:space="preserve">oạt động liên quan đến </w:t>
            </w:r>
            <w:r>
              <w:t>trường Đại họ</w:t>
            </w:r>
            <w:r w:rsidRPr="008C1C22">
              <w:t xml:space="preserve">c bao gồm bất kỳ hoạt động nào có liên hệ với </w:t>
            </w:r>
            <w:r>
              <w:t xml:space="preserve">trường </w:t>
            </w:r>
            <w:r w:rsidRPr="008C1C22">
              <w:t xml:space="preserve">Đại học Công nghệ Swinburne, </w:t>
            </w:r>
            <w:r>
              <w:t>kể cả</w:t>
            </w:r>
            <w:r w:rsidRPr="008C1C22">
              <w:t xml:space="preserve"> hoạt động diễn ra t</w:t>
            </w:r>
            <w:r>
              <w:t>ại</w:t>
            </w:r>
            <w:r w:rsidRPr="008C1C22">
              <w:t xml:space="preserve"> tài sản thuộc sở hữu hoặc do trường quản lý, các sự kiện ngoài </w:t>
            </w:r>
            <w:r>
              <w:t>phân hiệu</w:t>
            </w:r>
            <w:r w:rsidRPr="008C1C22">
              <w:t xml:space="preserve"> trường do</w:t>
            </w:r>
            <w:r>
              <w:t xml:space="preserve"> nhà</w:t>
            </w:r>
            <w:r w:rsidRPr="008C1C22">
              <w:t xml:space="preserve"> trườ</w:t>
            </w:r>
            <w:r>
              <w:t>ng bảo</w:t>
            </w:r>
            <w:r w:rsidRPr="008C1C22">
              <w:t xml:space="preserve"> trợ hoặc tổ chức (như các chuyến tham quan học tập, thực tập hoặc hội nghị), và các tương tác trong </w:t>
            </w:r>
            <w:r>
              <w:t>môi trường</w:t>
            </w:r>
            <w:r w:rsidRPr="008C1C22">
              <w:t xml:space="preserve"> trực tuyến hoặc kỹ thuật số </w:t>
            </w:r>
            <w:r>
              <w:t xml:space="preserve">có </w:t>
            </w:r>
            <w:r w:rsidRPr="008C1C22">
              <w:t>liên kết với trường.</w:t>
            </w:r>
          </w:p>
        </w:tc>
      </w:tr>
      <w:tr w:rsidR="000C0BAF" w14:paraId="64701E4A" w14:textId="77777777" w:rsidTr="00C76A1C">
        <w:tc>
          <w:tcPr>
            <w:tcW w:w="2500" w:type="pct"/>
          </w:tcPr>
          <w:p w14:paraId="54F8F0EF" w14:textId="77777777" w:rsidR="000C0BAF" w:rsidRPr="00167DD6" w:rsidRDefault="000C0BAF" w:rsidP="00514BE1">
            <w:pPr>
              <w:rPr>
                <w:b/>
                <w:bCs/>
              </w:rPr>
            </w:pPr>
            <w:r w:rsidRPr="00167DD6">
              <w:rPr>
                <w:b/>
                <w:bCs/>
              </w:rPr>
              <w:t>4. Scope</w:t>
            </w:r>
          </w:p>
        </w:tc>
        <w:tc>
          <w:tcPr>
            <w:tcW w:w="2500" w:type="pct"/>
          </w:tcPr>
          <w:p w14:paraId="0C86950E" w14:textId="77777777" w:rsidR="000C0BAF" w:rsidRPr="00167DD6" w:rsidRDefault="000C0BAF" w:rsidP="000D2608">
            <w:pPr>
              <w:rPr>
                <w:b/>
                <w:bCs/>
              </w:rPr>
            </w:pPr>
            <w:r w:rsidRPr="00167DD6">
              <w:rPr>
                <w:b/>
                <w:bCs/>
              </w:rPr>
              <w:t>4. Phạm vi</w:t>
            </w:r>
          </w:p>
        </w:tc>
      </w:tr>
      <w:tr w:rsidR="000C0BAF" w14:paraId="7EFAAFAA" w14:textId="77777777" w:rsidTr="00C76A1C">
        <w:tc>
          <w:tcPr>
            <w:tcW w:w="2500" w:type="pct"/>
          </w:tcPr>
          <w:p w14:paraId="6BE0BB01" w14:textId="77777777" w:rsidR="000C0BAF" w:rsidRDefault="000C0BAF" w:rsidP="00514BE1">
            <w:r>
              <w:t xml:space="preserve">This Policy applies to all members of the University community, including Staff Members (including leaders, employees and contractors), students, third-party providers, any person or entity that conducts activities on behalf of the University or who operates on, uses or leases the University's land or facilities, or who has otherwise consented to apply and comply with this Policy (such as affiliated organisations), and visitors. </w:t>
            </w:r>
          </w:p>
          <w:p w14:paraId="5DAB6C7B" w14:textId="77777777" w:rsidR="000C0BAF" w:rsidRDefault="000C0BAF" w:rsidP="00514BE1"/>
          <w:p w14:paraId="4E219F34" w14:textId="77777777" w:rsidR="000C0BAF" w:rsidRDefault="000C0BAF" w:rsidP="00514BE1">
            <w:r>
              <w:t xml:space="preserve">This Policy is not limited in application to Gender-based Violence occurring at a University location or during a University-related activity.  It allows for Disclosures and Formal Reports of any Gender-based Violence impacting or involving a student or Staff Member. </w:t>
            </w:r>
          </w:p>
          <w:p w14:paraId="02EB378F" w14:textId="77777777" w:rsidR="000C0BAF" w:rsidRDefault="000C0BAF" w:rsidP="00514BE1"/>
          <w:p w14:paraId="7FD84C55" w14:textId="77777777" w:rsidR="000C0BAF" w:rsidRDefault="000C0BAF" w:rsidP="00514BE1">
            <w:r>
              <w:t>Any person covered by this Policy can seek advice and/or support from the University around Gender-based Violence they have experienced.  Third parties can also make a Disclosure or Formal Report of Gender-based Violence by a Student or Staff Member.</w:t>
            </w:r>
          </w:p>
          <w:p w14:paraId="6A05A809" w14:textId="77777777" w:rsidR="000C0BAF" w:rsidRDefault="000C0BAF" w:rsidP="00514BE1"/>
          <w:p w14:paraId="75881CDB" w14:textId="77777777" w:rsidR="000C0BAF" w:rsidRDefault="000C0BAF" w:rsidP="00514BE1">
            <w:r>
              <w:t>Incidents of Gender-based Violence involving a person under the age of 18 will be managed under this Policy in so far as is legally possible, however the University’s Child Safety and Wellbeing Framework will also apply and may require the University to take certain actions (including mandatory notification to external bodies) to comply with its legal obligations.</w:t>
            </w:r>
          </w:p>
          <w:p w14:paraId="5A39BBE3" w14:textId="77777777" w:rsidR="000C0BAF" w:rsidRDefault="000C0BAF" w:rsidP="00514BE1"/>
          <w:p w14:paraId="59D447D7" w14:textId="77777777" w:rsidR="000C0BAF" w:rsidRPr="00860FD8" w:rsidRDefault="000C0BAF" w:rsidP="00514BE1">
            <w:r>
              <w:t>This Policy is to be read in conjunction with the Prevention of and Response to Gender-based Violence Procedure (Staff and Students), which outlines support for people making a Disclosure or Formal Report, avenues for making a Disclosure or Formal Report, and the actions the University will take when a Disclosure or Formal Report is made.</w:t>
            </w:r>
          </w:p>
        </w:tc>
        <w:tc>
          <w:tcPr>
            <w:tcW w:w="2500" w:type="pct"/>
          </w:tcPr>
          <w:p w14:paraId="3E309768" w14:textId="77777777" w:rsidR="000C0BAF" w:rsidRDefault="000C0BAF" w:rsidP="000D2608">
            <w:r>
              <w:t>Chính sách này áp dụng cho tất cả các thành viên cộng đồng trường Đại học, bao gồm thành viên đội ngũ Nhân viên (kể cả lãnh đạo, nhân viên và nhà thầu), sinh viên, nhà cung cấp bên thứ ba, bất kỳ cá nhân hoặc tổ chức nào thực hiện các hoạt động thay mặt trường Đại học hoặc hoạt động tại, sử dụng hay thuê đất hay cơ sở vật chất của trường Đại học, hoặc những người khác đã đồng ý áp dụng và tuân thủ Chính sách này (chẳng hạn như các tổ chức có liên kết), và khách tham quan.</w:t>
            </w:r>
          </w:p>
          <w:p w14:paraId="41C8F396" w14:textId="77777777" w:rsidR="000C0BAF" w:rsidRDefault="000C0BAF" w:rsidP="000D2608"/>
          <w:p w14:paraId="4B6C7D2E" w14:textId="77777777" w:rsidR="000C0BAF" w:rsidRDefault="000C0BAF" w:rsidP="000D2608">
            <w:r>
              <w:t>Chính sách này không chỉ áp dụng đối với Bạo lực Giới tính xảy ra tại phân hiệu trường Đại học hoặc trong các hoạt động liên quan đến trường Đại học. Chính sách này giúp sinh viên hoặc Nhân viên có thể Tố cáo và Báo cáo Chính thức về bất kỳ hành vi Bạo lực Giới tính nào có ảnh hưởng hoặc có liên quan đến họ.</w:t>
            </w:r>
          </w:p>
          <w:p w14:paraId="72A3D3EC" w14:textId="77777777" w:rsidR="000C0BAF" w:rsidRDefault="000C0BAF" w:rsidP="000D2608"/>
          <w:p w14:paraId="26E97715" w14:textId="77777777" w:rsidR="000C0BAF" w:rsidRDefault="000C0BAF" w:rsidP="000D2608">
            <w:r>
              <w:t>Bất kỳ cá nhân nào thuộc phạm vi Chính sách này đều có thể nhờ trường Đại học tư vấn và/hoặc hỗ trợ về Bạo lực Giới tính họ đã trải qua. Bên thứ ba cũng có thể nộp Đơn tố cáo hoặc Báo cáo Chính thức về Bạo lực Giới tính mà Sinh viên hoặc Nhân viên là thủ phạm.</w:t>
            </w:r>
          </w:p>
          <w:p w14:paraId="0D0B940D" w14:textId="77777777" w:rsidR="000C0BAF" w:rsidRDefault="000C0BAF" w:rsidP="000D2608"/>
          <w:p w14:paraId="2F1632BD" w14:textId="77777777" w:rsidR="000C0BAF" w:rsidRDefault="000C0BAF" w:rsidP="000D2608">
            <w:r>
              <w:t>Các vụ Bạo lực Giới tính liên quan đến người dưới 18 tuổi sẽ được xử lý theo Chính sách này trong phạm vi pháp luật cho phép, tuy nhiên, Khuôn khổ An toàn và An sinh Trẻ em trường Đại học cũng sẽ được áp dụng và trường Đại học có thể phải thực hiện một số hành động nhất định (kể cả thông báo bắt buộc với các cơ quan bên ngoài) để tuân thủ các nghĩa vụ pháp lý của nhà trường.</w:t>
            </w:r>
          </w:p>
          <w:p w14:paraId="0E27B00A" w14:textId="77777777" w:rsidR="000C0BAF" w:rsidRDefault="000C0BAF" w:rsidP="000D2608"/>
          <w:p w14:paraId="36E02246" w14:textId="77777777" w:rsidR="000C0BAF" w:rsidRPr="00860FD8" w:rsidRDefault="000C0BAF" w:rsidP="000D2608">
            <w:r>
              <w:t>Chính sách này phải đọc chung với Quy trình Ngăn ngừa và Ứng phó với Bạo lực Giới tính (Nhân viên và Sinh viên), đề ra những hỗ trợ dành cho Người tố cáo hoặc Báo cáo Chính thức, các kênh để nộp Đơn tố cáo hoặc Báo cáo Chính thức, và các hành động trường Đại học sẽ thực hiện khi nhận được Đơn tố cáo hoặc Báo cáo Chính thức.</w:t>
            </w:r>
          </w:p>
        </w:tc>
      </w:tr>
      <w:tr w:rsidR="000C0BAF" w14:paraId="74E3AC56" w14:textId="77777777" w:rsidTr="00C76A1C">
        <w:tc>
          <w:tcPr>
            <w:tcW w:w="2500" w:type="pct"/>
          </w:tcPr>
          <w:p w14:paraId="50CEC059" w14:textId="77777777" w:rsidR="000C0BAF" w:rsidRPr="00167DD6" w:rsidRDefault="000C0BAF" w:rsidP="00514BE1">
            <w:pPr>
              <w:rPr>
                <w:b/>
                <w:bCs/>
              </w:rPr>
            </w:pPr>
            <w:r w:rsidRPr="00167DD6">
              <w:rPr>
                <w:b/>
                <w:bCs/>
              </w:rPr>
              <w:t>5. Policy</w:t>
            </w:r>
          </w:p>
        </w:tc>
        <w:tc>
          <w:tcPr>
            <w:tcW w:w="2500" w:type="pct"/>
          </w:tcPr>
          <w:p w14:paraId="014C740D" w14:textId="77777777" w:rsidR="000C0BAF" w:rsidRPr="00167DD6" w:rsidRDefault="000C0BAF" w:rsidP="000D2608">
            <w:pPr>
              <w:rPr>
                <w:b/>
                <w:bCs/>
              </w:rPr>
            </w:pPr>
            <w:r w:rsidRPr="00167DD6">
              <w:rPr>
                <w:b/>
                <w:bCs/>
              </w:rPr>
              <w:t>5. Chính sách</w:t>
            </w:r>
          </w:p>
        </w:tc>
      </w:tr>
      <w:tr w:rsidR="000C0BAF" w14:paraId="769735FA" w14:textId="77777777" w:rsidTr="00C76A1C">
        <w:tc>
          <w:tcPr>
            <w:tcW w:w="2500" w:type="pct"/>
          </w:tcPr>
          <w:p w14:paraId="40B0ECFB" w14:textId="77777777" w:rsidR="000C0BAF" w:rsidRDefault="000C0BAF" w:rsidP="00514BE1">
            <w:r>
              <w:t>Gender-based Violence is unacceptable and may also be unlawful.  Members of the University community who engage in Gender-based Violence breach this Policy.</w:t>
            </w:r>
          </w:p>
          <w:p w14:paraId="60061E4C" w14:textId="77777777" w:rsidR="000C0BAF" w:rsidRDefault="000C0BAF" w:rsidP="00514BE1"/>
          <w:p w14:paraId="523DE89C" w14:textId="77777777" w:rsidR="000C0BAF" w:rsidRDefault="000C0BAF" w:rsidP="00514BE1">
            <w:r>
              <w:t>The University recognises that Gender-based Violence is rooted in gender-based power, inequality and discrimination and that some groups are disproportionately affected by Gender-based Violence. These groups include women, people who identify as Aboriginal and Torres Strait Islander, culturally and linguistically diverse communities, people with a disability and people of diverse gender identity and/or sexual orientation.  Some factors that are likely relevant include power imbalances (including staff to student, but also senior staff to more junior staff); vulnerable students due to age, cultural backgrounds and visa status.</w:t>
            </w:r>
          </w:p>
          <w:p w14:paraId="44EAFD9C" w14:textId="77777777" w:rsidR="000C0BAF" w:rsidRDefault="000C0BAF" w:rsidP="00514BE1"/>
          <w:p w14:paraId="575F4259" w14:textId="77777777" w:rsidR="000C0BAF" w:rsidRDefault="000C0BAF" w:rsidP="00514BE1">
            <w:r>
              <w:t>The University is committed to providing a safe, respectful, inclusive working and learning environment and culture that is free from all forms of Gender-based Violence.</w:t>
            </w:r>
          </w:p>
          <w:p w14:paraId="4B94D5A5" w14:textId="77777777" w:rsidR="000C0BAF" w:rsidRDefault="000C0BAF" w:rsidP="00514BE1"/>
          <w:p w14:paraId="1DC272D3" w14:textId="77777777" w:rsidR="000C0BAF" w:rsidRDefault="000C0BAF" w:rsidP="00514BE1">
            <w:r>
              <w:t>A Disclosure or Formal Report can be made about a current incident or one that has occurred at any time in the past.  The University will ensure options for reporting incidents of Gender-based Violence are accessible and transparent, to the greatest extent possible.</w:t>
            </w:r>
          </w:p>
          <w:p w14:paraId="3DEEC669" w14:textId="77777777" w:rsidR="000C0BAF" w:rsidRDefault="000C0BAF" w:rsidP="00514BE1"/>
          <w:p w14:paraId="0959E196" w14:textId="77777777" w:rsidR="000C0BAF" w:rsidRDefault="000C0BAF" w:rsidP="00514BE1">
            <w:r>
              <w:t xml:space="preserve">The University will respond to Disclosures and Formal Reports relating to Gender-based Violence in a trauma-informed and person-centred way and in a manner consistent with the principles of procedural fairness.  The University acknowledges that experiences of Gender-based Violence are often influenced by intersecting factors such as gender, race, sexuality, disability, and socio-economic status. The University is committed to an intersectional approach that recognises these diverse identities and the unique challenges they pose in both the prevention of and response to Gender-based Violence. This approach aims to ensure that all individuals, regardless of their backgrounds, are provided with equitable support and resources. </w:t>
            </w:r>
          </w:p>
          <w:p w14:paraId="3656B9AB" w14:textId="77777777" w:rsidR="000C0BAF" w:rsidRDefault="000C0BAF" w:rsidP="00514BE1"/>
          <w:p w14:paraId="335C4D9F" w14:textId="77777777" w:rsidR="000C0BAF" w:rsidRDefault="000C0BAF" w:rsidP="00514BE1">
            <w:r>
              <w:t>More information about who to disclose or report Gender-based Violence to is available in the Prevention of and Response to Gender-based Violence Procedure (Staff and Students).</w:t>
            </w:r>
          </w:p>
          <w:p w14:paraId="45FB0818" w14:textId="77777777" w:rsidR="000C0BAF" w:rsidRDefault="000C0BAF" w:rsidP="00514BE1"/>
          <w:p w14:paraId="4C0BD508" w14:textId="77777777" w:rsidR="000C0BAF" w:rsidRDefault="000C0BAF" w:rsidP="00514BE1">
            <w:r>
              <w:t>The University acknowledges that any person who experiences Gender-based Violence has the right to report the incident(s) to the police or an external agency. To avoid prejudicing any such external investigations, the University will take appropriate steps to coordinate with law enforcement when necessary.</w:t>
            </w:r>
          </w:p>
          <w:p w14:paraId="049F31CB" w14:textId="77777777" w:rsidR="000C0BAF" w:rsidRDefault="000C0BAF" w:rsidP="00514BE1"/>
          <w:p w14:paraId="3382DA06" w14:textId="77777777" w:rsidR="000C0BAF" w:rsidRDefault="000C0BAF" w:rsidP="00514BE1">
            <w:r>
              <w:t xml:space="preserve">In circumstances where the Respondent to a Disclosure or Formal Report of Gender-based Violence is not a member of the University community, the University is committed to providing support to the person who experienced the harm. However, the University may be limited in its ability to investigate and will not be able to impose sanctions on the alleged perpetrator. </w:t>
            </w:r>
          </w:p>
          <w:p w14:paraId="53128261" w14:textId="77777777" w:rsidR="000C0BAF" w:rsidRDefault="000C0BAF" w:rsidP="00514BE1"/>
          <w:p w14:paraId="0EF52B40" w14:textId="77777777" w:rsidR="000C0BAF" w:rsidRPr="00860FD8" w:rsidRDefault="000C0BAF" w:rsidP="00514BE1">
            <w:r>
              <w:t xml:space="preserve">The University will devise prevention and response frameworks complementary to its commitments to comprehensive support and accountability for the prevention of and response to Gender-based Violence. These include; undertaking gender impact assessments, effective responses to Gender-based Violence, achieving educational outcomes through necessary academic adjustments, and physical and psychological safety and wellbeing of students and staff. </w:t>
            </w:r>
          </w:p>
        </w:tc>
        <w:tc>
          <w:tcPr>
            <w:tcW w:w="2500" w:type="pct"/>
          </w:tcPr>
          <w:p w14:paraId="1094FFE0" w14:textId="77777777" w:rsidR="000C0BAF" w:rsidRDefault="000C0BAF" w:rsidP="000D2608">
            <w:r>
              <w:t>Bạo lực Giới tính là điều không thể chấp nhận được và cũng có thể là bất hợp pháp. Các thành viên cộng đồng trường Đại học nào thực hiện hành vi Bạo lực Giới tính là vi phạm Chính sách này.</w:t>
            </w:r>
          </w:p>
          <w:p w14:paraId="62486C05" w14:textId="77777777" w:rsidR="000C0BAF" w:rsidRDefault="000C0BAF" w:rsidP="000D2608"/>
          <w:p w14:paraId="7EA890ED" w14:textId="77777777" w:rsidR="000C0BAF" w:rsidRDefault="000C0BAF" w:rsidP="000D2608">
            <w:r>
              <w:t>Trường Đại học nhận thức rằng Bạo lực Giới tính bắt nguồn từ tìnhtrạng bất bình đẳng, phân biệt đối xử và mất cân bằng quyền lực giới tính, và một số nhóm người bị Bạo lực Giới tính ảnh hưởng nặng nề hơn. Các nhóm này bao gồm phụ nữ, người tự nhận mình là người bản địa Úc và dân đảo Torres Strait, các cộng đồng văn hóa và ngôn ngữ đa dạng, người khuyết tật và người có bản dạng giới và/hoặc xu hướng tình dục đa dạng. Một số yếu tố có thể liên quan bao gồm tình trạng mất cân bằng quyền lực (kể cả giữa nhân viên và sinh viên, cũng như giữa nhân viên cấp cao và nhân viên cấp dưới); sinh viên yếu thế do tuổi tác, nguồn gốc văn hóa và tình trạng thị thực.</w:t>
            </w:r>
          </w:p>
          <w:p w14:paraId="4101652C" w14:textId="77777777" w:rsidR="000C0BAF" w:rsidRDefault="000C0BAF" w:rsidP="000D2608"/>
          <w:p w14:paraId="70CC60B9" w14:textId="77777777" w:rsidR="000C0BAF" w:rsidRDefault="000C0BAF" w:rsidP="000D2608">
            <w:r>
              <w:t>Trường Đại học cam kết cung cấp môi trường và văn hóa làm việc và học tập an toàn, tôn trọng, hòa nhập, không có bất kỳ hình thức Bạo lực Giới tính nào.</w:t>
            </w:r>
          </w:p>
          <w:p w14:paraId="4B99056E" w14:textId="77777777" w:rsidR="000C0BAF" w:rsidRDefault="000C0BAF" w:rsidP="000D2608"/>
          <w:p w14:paraId="38053976" w14:textId="77777777" w:rsidR="000C0BAF" w:rsidRDefault="000C0BAF" w:rsidP="000D2608">
            <w:r>
              <w:t>Đơn tố cáo hoặc Báo cáo Chính thức có thể là về sự việc hiện tại hoặc sự việc xảy ra trong quá khứ. Trường Đại học sẽ đảm bảo các cách thức báo cáo các vụ Bạo lực Giới tính càng dễ dàng sử dụng và minh bạch càng tốt.</w:t>
            </w:r>
          </w:p>
          <w:p w14:paraId="1299C43A" w14:textId="77777777" w:rsidR="000C0BAF" w:rsidRDefault="000C0BAF" w:rsidP="000D2608"/>
          <w:p w14:paraId="40A15B09" w14:textId="77777777" w:rsidR="000C0BAF" w:rsidRDefault="000C0BAF" w:rsidP="000D2608">
            <w:r>
              <w:t>Trường Đại học sẽ ứng phó với Đơn tố cáo và Báo cáo Chính thức liên quan đến Bạo lực Giới tính theo cách thấu hiểu sang chấn tâm lý và đặt con người là trọng tâm, đồng thời phù hợp với các nguyên tắc công bằng về thủ tục. Trường Đại học thừa nhận rằng trải nghiệm liên quan đến Bạo lực Giới tính thường bị ảnh hưởng bởi nhiều yếu tố giao thoa như giới tính, chủng tộc, xu hướng tình dục, khuyết tật và tình trạng kinh tế xã hội. Trường Đại học cam kết áp dụng phương thức đa chiều, công nhận những bản sắc đa dạng này và những thách thức riêng biệt mà chúng đặt ra trong cả ngăn ngừa lẫn ứng phó với Bạo lực Giới tính. Phương thức này nhằm đảm bảo rằng tất cả các cá nhân, bất kể nguồn gốc, đều được hỗ trợ và cung cấp nguồn lực một cách công bằng.</w:t>
            </w:r>
          </w:p>
          <w:p w14:paraId="4DDBEF00" w14:textId="77777777" w:rsidR="000C0BAF" w:rsidRDefault="000C0BAF" w:rsidP="000D2608"/>
          <w:p w14:paraId="4808A186" w14:textId="77777777" w:rsidR="000C0BAF" w:rsidRDefault="000C0BAF" w:rsidP="000D2608">
            <w:r>
              <w:t>Trong Quy trình Ngăn ngừa và Ứng phó với Bạo lực Giới tính (Nhân viên và Sinh viên) có thêm thông tin về nên tố cáo hoặc báo cáo với ai về Bạo lực Giới tính.</w:t>
            </w:r>
          </w:p>
          <w:p w14:paraId="3461D779" w14:textId="77777777" w:rsidR="000C0BAF" w:rsidRDefault="000C0BAF" w:rsidP="000D2608"/>
          <w:p w14:paraId="343ACFA3" w14:textId="77777777" w:rsidR="000C0BAF" w:rsidRDefault="000C0BAF" w:rsidP="000D2608">
            <w:r>
              <w:t>Trường Đại học thừa nhận rằng bất kỳ người nào trải qua bạo lực giới tính đều có quyền trình báo sự việc với cảnh sát hoặc cơ quan bên ngoài. Để tránh gây ảnh hưởng đến bất kỳ cuộc điều tra bên ngoài nào, trường Đại học sẽ thực hiện các bước thích hợp để phối hợp với cơ quan thực thi pháp luật khi cần thiết.</w:t>
            </w:r>
          </w:p>
          <w:p w14:paraId="3CF2D8B6" w14:textId="77777777" w:rsidR="000C0BAF" w:rsidRDefault="000C0BAF" w:rsidP="000D2608"/>
          <w:p w14:paraId="3A6FB54E" w14:textId="77777777" w:rsidR="000C0BAF" w:rsidRDefault="000C0BAF" w:rsidP="000D2608">
            <w:r>
              <w:t>Trong tình huống Người bị tố cáo trong Đơn tố cáo hoặc Báo cáo Chính thức về Bạo lực Giới tính không phải là thành viên cộng đồng trường Đại học, nhà trường cam kết hỗ trợ người bị hại. Tuy nhiên, khả năng điều tra của trường Đại học có thể bị hạn chế và nhà trường sẽ không thể áp đặt các biện pháp trừng phạt đối với người bị cáo buộc là thủ phạm.</w:t>
            </w:r>
          </w:p>
          <w:p w14:paraId="0FB78278" w14:textId="77777777" w:rsidR="000C0BAF" w:rsidRDefault="000C0BAF" w:rsidP="000D2608"/>
          <w:p w14:paraId="782DB444" w14:textId="77777777" w:rsidR="000C0BAF" w:rsidRPr="00860FD8" w:rsidRDefault="000C0BAF" w:rsidP="000D2608">
            <w:r>
              <w:t>Trường Đại học sẽ đặt ra các khuôn khổ ngăn ngừa và ứng phó bổ sung cho các cam kết của trường về hỗ trợ toàn diện và trách nhiệm giải trình về ngăn ngừa và ứng phó với Bạo lực Giới tính. Các khuôn khổ này bao gồm: đánh giá tác động giới tính, các biện pháp ứng phó hiệu quả với Bạo lực Giới tính, đạt được các kết quả giáo dục thông qua các điều chỉnh cần thiết về học thuật, và đảm bảo an toàn thể chất lẫn tinh thần cũng như sức khỏe của sinh viên và nhân viên.</w:t>
            </w:r>
          </w:p>
        </w:tc>
      </w:tr>
      <w:tr w:rsidR="000C0BAF" w14:paraId="42D36EF2" w14:textId="77777777" w:rsidTr="00C76A1C">
        <w:tc>
          <w:tcPr>
            <w:tcW w:w="2500" w:type="pct"/>
          </w:tcPr>
          <w:p w14:paraId="3EC92805" w14:textId="77777777" w:rsidR="000C0BAF" w:rsidRPr="00860FD8" w:rsidRDefault="000C0BAF" w:rsidP="00514BE1">
            <w:r w:rsidRPr="008C1C22">
              <w:t>The University is committed to continuous education and training of its Staff and Students. Education and training shall be:</w:t>
            </w:r>
          </w:p>
        </w:tc>
        <w:tc>
          <w:tcPr>
            <w:tcW w:w="2500" w:type="pct"/>
          </w:tcPr>
          <w:p w14:paraId="1E511E19" w14:textId="77777777" w:rsidR="000C0BAF" w:rsidRPr="00860FD8" w:rsidRDefault="000C0BAF" w:rsidP="000D2608">
            <w:r>
              <w:t>Trường Đại họ</w:t>
            </w:r>
            <w:r w:rsidRPr="008C1C22">
              <w:t xml:space="preserve">c cam kết liên tục giáo dục và đào tạo đội ngũ </w:t>
            </w:r>
            <w:r>
              <w:t>Nhân viên</w:t>
            </w:r>
            <w:r w:rsidRPr="008C1C22">
              <w:t xml:space="preserve"> và </w:t>
            </w:r>
            <w:r>
              <w:t>S</w:t>
            </w:r>
            <w:r w:rsidRPr="008C1C22">
              <w:t xml:space="preserve">inh viên. </w:t>
            </w:r>
            <w:r>
              <w:t xml:space="preserve">Công việc </w:t>
            </w:r>
            <w:r w:rsidRPr="008C1C22">
              <w:t>Giáo dục và đào tạo sẽ:</w:t>
            </w:r>
          </w:p>
        </w:tc>
      </w:tr>
      <w:tr w:rsidR="000C0BAF" w14:paraId="2DB2F202" w14:textId="77777777" w:rsidTr="00C76A1C">
        <w:tc>
          <w:tcPr>
            <w:tcW w:w="2500" w:type="pct"/>
          </w:tcPr>
          <w:p w14:paraId="1818B5A1" w14:textId="77777777" w:rsidR="000C0BAF" w:rsidRPr="008C1C22" w:rsidRDefault="000C0BAF" w:rsidP="00514BE1">
            <w:pPr>
              <w:numPr>
                <w:ilvl w:val="0"/>
                <w:numId w:val="6"/>
              </w:numPr>
            </w:pPr>
            <w:r w:rsidRPr="008C1C22">
              <w:t>evidence-informed and align with current best practice in the prevention of Gender-based Violence,</w:t>
            </w:r>
          </w:p>
          <w:p w14:paraId="5AFD9C1E" w14:textId="77777777" w:rsidR="000C0BAF" w:rsidRPr="008C1C22" w:rsidRDefault="000C0BAF" w:rsidP="00514BE1">
            <w:pPr>
              <w:numPr>
                <w:ilvl w:val="0"/>
                <w:numId w:val="6"/>
              </w:numPr>
            </w:pPr>
            <w:r w:rsidRPr="008C1C22">
              <w:t>trauma informed in its content and delivery,</w:t>
            </w:r>
          </w:p>
          <w:p w14:paraId="3815D5D0" w14:textId="77777777" w:rsidR="000C0BAF" w:rsidRPr="008C1C22" w:rsidRDefault="000C0BAF" w:rsidP="00514BE1">
            <w:pPr>
              <w:numPr>
                <w:ilvl w:val="0"/>
                <w:numId w:val="6"/>
              </w:numPr>
            </w:pPr>
            <w:r w:rsidRPr="008C1C22">
              <w:t>tailored to the University’s community and context,</w:t>
            </w:r>
          </w:p>
          <w:p w14:paraId="2B53B448" w14:textId="77777777" w:rsidR="000C0BAF" w:rsidRPr="008C1C22" w:rsidRDefault="000C0BAF" w:rsidP="00514BE1">
            <w:pPr>
              <w:numPr>
                <w:ilvl w:val="0"/>
                <w:numId w:val="6"/>
              </w:numPr>
            </w:pPr>
            <w:r w:rsidRPr="008C1C22">
              <w:t>culturally appropriate,</w:t>
            </w:r>
          </w:p>
          <w:p w14:paraId="7115B140" w14:textId="77777777" w:rsidR="000C0BAF" w:rsidRPr="008C1C22" w:rsidRDefault="000C0BAF" w:rsidP="00514BE1">
            <w:pPr>
              <w:numPr>
                <w:ilvl w:val="0"/>
                <w:numId w:val="6"/>
              </w:numPr>
            </w:pPr>
            <w:r w:rsidRPr="008C1C22">
              <w:t>inclusive and accessible to students and staff with disabilities or are neurodiverse,</w:t>
            </w:r>
          </w:p>
          <w:p w14:paraId="799B7C1D" w14:textId="77777777" w:rsidR="000C0BAF" w:rsidRPr="008C1C22" w:rsidRDefault="000C0BAF" w:rsidP="00514BE1">
            <w:pPr>
              <w:numPr>
                <w:ilvl w:val="0"/>
                <w:numId w:val="6"/>
              </w:numPr>
            </w:pPr>
            <w:r w:rsidRPr="008C1C22">
              <w:t>designed to support ongoing learning, and</w:t>
            </w:r>
          </w:p>
          <w:p w14:paraId="7F6FB094" w14:textId="77777777" w:rsidR="000C0BAF" w:rsidRPr="00860FD8" w:rsidRDefault="000C0BAF" w:rsidP="00514BE1">
            <w:pPr>
              <w:numPr>
                <w:ilvl w:val="0"/>
                <w:numId w:val="6"/>
              </w:numPr>
            </w:pPr>
            <w:r w:rsidRPr="008C1C22">
              <w:t>designed to safely manage any Disclosures that may arise in the course of the education and training, including by providing information about the internal and/or external support services and reporting channels available to a person who has experienced Gender-based Violence.</w:t>
            </w:r>
          </w:p>
        </w:tc>
        <w:tc>
          <w:tcPr>
            <w:tcW w:w="2500" w:type="pct"/>
          </w:tcPr>
          <w:p w14:paraId="34E5FE12" w14:textId="77777777" w:rsidR="000C0BAF" w:rsidRPr="008C1C22" w:rsidRDefault="000C0BAF" w:rsidP="000C0BAF">
            <w:pPr>
              <w:numPr>
                <w:ilvl w:val="0"/>
                <w:numId w:val="6"/>
              </w:numPr>
            </w:pPr>
            <w:r>
              <w:t>d</w:t>
            </w:r>
            <w:r w:rsidRPr="008C1C22">
              <w:t xml:space="preserve">ựa trên bằng chứng và phù hợp với các </w:t>
            </w:r>
            <w:r>
              <w:t>quy cách thực hành</w:t>
            </w:r>
            <w:r w:rsidRPr="008C1C22">
              <w:t xml:space="preserve"> tốt nhất hiện nay </w:t>
            </w:r>
            <w:r>
              <w:t>về</w:t>
            </w:r>
            <w:r w:rsidRPr="008C1C22">
              <w:t xml:space="preserve"> </w:t>
            </w:r>
            <w:r>
              <w:t>ngăn ngừa</w:t>
            </w:r>
            <w:r w:rsidRPr="008C1C22">
              <w:t xml:space="preserve"> </w:t>
            </w:r>
            <w:r>
              <w:t>Bạo lực Giới tính</w:t>
            </w:r>
            <w:r w:rsidRPr="008C1C22">
              <w:t>.</w:t>
            </w:r>
          </w:p>
          <w:p w14:paraId="7B103B22" w14:textId="77777777" w:rsidR="000C0BAF" w:rsidRPr="008C1C22" w:rsidRDefault="000C0BAF" w:rsidP="000C0BAF">
            <w:pPr>
              <w:numPr>
                <w:ilvl w:val="0"/>
                <w:numId w:val="6"/>
              </w:numPr>
            </w:pPr>
            <w:r>
              <w:t>n</w:t>
            </w:r>
            <w:r w:rsidRPr="008C1C22">
              <w:t xml:space="preserve">ội dung và cách truyền đạt đều dựa trên hiểu biết về </w:t>
            </w:r>
            <w:r>
              <w:t>sang chấn tâm</w:t>
            </w:r>
            <w:r w:rsidRPr="008C1C22">
              <w:t xml:space="preserve"> lý.</w:t>
            </w:r>
          </w:p>
          <w:p w14:paraId="0B723985" w14:textId="77777777" w:rsidR="000C0BAF" w:rsidRPr="008C1C22" w:rsidRDefault="000C0BAF" w:rsidP="000C0BAF">
            <w:pPr>
              <w:numPr>
                <w:ilvl w:val="0"/>
                <w:numId w:val="6"/>
              </w:numPr>
            </w:pPr>
            <w:r>
              <w:t>đ</w:t>
            </w:r>
            <w:r w:rsidRPr="008C1C22">
              <w:t xml:space="preserve">ược thiết kế phù hợp với cộng đồng và bối </w:t>
            </w:r>
            <w:r>
              <w:t>cảnh trường Đại họ</w:t>
            </w:r>
            <w:r w:rsidRPr="008C1C22">
              <w:t>c.</w:t>
            </w:r>
          </w:p>
          <w:p w14:paraId="6598A90C" w14:textId="77777777" w:rsidR="000C0BAF" w:rsidRPr="008C1C22" w:rsidRDefault="000C0BAF" w:rsidP="000C0BAF">
            <w:pPr>
              <w:numPr>
                <w:ilvl w:val="0"/>
                <w:numId w:val="6"/>
              </w:numPr>
            </w:pPr>
            <w:r w:rsidRPr="008C1C22">
              <w:t xml:space="preserve">phù hợp </w:t>
            </w:r>
            <w:r>
              <w:t>về</w:t>
            </w:r>
            <w:r w:rsidRPr="008C1C22">
              <w:t xml:space="preserve"> văn hóa,</w:t>
            </w:r>
          </w:p>
          <w:p w14:paraId="3E1FCCA2" w14:textId="77777777" w:rsidR="000C0BAF" w:rsidRPr="008C1C22" w:rsidRDefault="000C0BAF" w:rsidP="000C0BAF">
            <w:pPr>
              <w:numPr>
                <w:ilvl w:val="0"/>
                <w:numId w:val="6"/>
              </w:numPr>
            </w:pPr>
            <w:r>
              <w:t>không phân biệt bất kỳ ai</w:t>
            </w:r>
            <w:r w:rsidRPr="008C1C22">
              <w:t xml:space="preserve"> và dễ </w:t>
            </w:r>
            <w:r>
              <w:t>hiểu</w:t>
            </w:r>
            <w:r w:rsidRPr="008C1C22">
              <w:t xml:space="preserve"> đối với sinh viên và </w:t>
            </w:r>
            <w:r>
              <w:t>nhân viên</w:t>
            </w:r>
            <w:r w:rsidRPr="008C1C22">
              <w:t xml:space="preserve"> khuyết tật hoặc </w:t>
            </w:r>
            <w:r>
              <w:t xml:space="preserve">đa dạng về </w:t>
            </w:r>
            <w:r w:rsidRPr="008C1C22">
              <w:t>thần kinh.</w:t>
            </w:r>
          </w:p>
          <w:p w14:paraId="1A8B059B" w14:textId="77777777" w:rsidR="000C0BAF" w:rsidRPr="008C1C22" w:rsidRDefault="000C0BAF" w:rsidP="000C0BAF">
            <w:pPr>
              <w:numPr>
                <w:ilvl w:val="0"/>
                <w:numId w:val="6"/>
              </w:numPr>
            </w:pPr>
            <w:r w:rsidRPr="008C1C22">
              <w:t xml:space="preserve">được </w:t>
            </w:r>
            <w:r>
              <w:t>thiết kế</w:t>
            </w:r>
            <w:r w:rsidRPr="008C1C22">
              <w:t xml:space="preserve"> để hỗ trợ học tập liên tục và</w:t>
            </w:r>
          </w:p>
          <w:p w14:paraId="299304B7" w14:textId="77777777" w:rsidR="000C0BAF" w:rsidRPr="00860FD8" w:rsidRDefault="000C0BAF" w:rsidP="000C0BAF">
            <w:pPr>
              <w:numPr>
                <w:ilvl w:val="0"/>
                <w:numId w:val="6"/>
              </w:numPr>
            </w:pPr>
            <w:r w:rsidRPr="008C1C22">
              <w:t xml:space="preserve">được thiết kế để quản lý an toàn </w:t>
            </w:r>
            <w:r>
              <w:t xml:space="preserve">bất kỳ Đơn tố cáo </w:t>
            </w:r>
            <w:r w:rsidRPr="008C1C22">
              <w:t xml:space="preserve">có thể phát sinh trong quá trình giáo dục và đào tạo, </w:t>
            </w:r>
            <w:r>
              <w:t>kể cả</w:t>
            </w:r>
            <w:r w:rsidRPr="008C1C22">
              <w:t xml:space="preserve"> cung cấp thông tin về các dịch vụ hỗ trợ nội bộ và/hoặc bên ngoài cũng như các kênh báo cáo dành cho </w:t>
            </w:r>
            <w:r>
              <w:t>người từng bị Bạo lực Giới tính</w:t>
            </w:r>
            <w:r w:rsidRPr="008C1C22">
              <w:t>.</w:t>
            </w:r>
          </w:p>
        </w:tc>
      </w:tr>
      <w:tr w:rsidR="000C0BAF" w14:paraId="6BE0F963" w14:textId="77777777" w:rsidTr="00C76A1C">
        <w:tc>
          <w:tcPr>
            <w:tcW w:w="2500" w:type="pct"/>
          </w:tcPr>
          <w:p w14:paraId="4DB89B56" w14:textId="77777777" w:rsidR="000C0BAF" w:rsidRPr="00860FD8" w:rsidRDefault="000C0BAF" w:rsidP="00514BE1">
            <w:r w:rsidRPr="008C1C22">
              <w:t>The University shall develop prevention education and training through collaboration and engagement with:</w:t>
            </w:r>
          </w:p>
        </w:tc>
        <w:tc>
          <w:tcPr>
            <w:tcW w:w="2500" w:type="pct"/>
          </w:tcPr>
          <w:p w14:paraId="426CFCDF" w14:textId="77777777" w:rsidR="000C0BAF" w:rsidRPr="00860FD8" w:rsidRDefault="000C0BAF" w:rsidP="000D2608">
            <w:r>
              <w:t>Trường Đại họ</w:t>
            </w:r>
            <w:r w:rsidRPr="008C1C22">
              <w:t xml:space="preserve">c sẽ </w:t>
            </w:r>
            <w:r>
              <w:t>phát triển việc</w:t>
            </w:r>
            <w:r w:rsidRPr="008C1C22">
              <w:t xml:space="preserve"> giáo dục và đào tạo </w:t>
            </w:r>
            <w:r>
              <w:t>ngăn ngừa</w:t>
            </w:r>
            <w:r w:rsidRPr="008C1C22">
              <w:t xml:space="preserve"> thông qua sự hợp tác và </w:t>
            </w:r>
            <w:r>
              <w:t>giao tiếp</w:t>
            </w:r>
            <w:r w:rsidRPr="008C1C22">
              <w:t xml:space="preserve"> với:</w:t>
            </w:r>
          </w:p>
        </w:tc>
      </w:tr>
      <w:tr w:rsidR="000C0BAF" w14:paraId="5D99E088" w14:textId="77777777" w:rsidTr="00C76A1C">
        <w:tc>
          <w:tcPr>
            <w:tcW w:w="2500" w:type="pct"/>
          </w:tcPr>
          <w:p w14:paraId="104E5482" w14:textId="77777777" w:rsidR="000C0BAF" w:rsidRPr="008C1C22" w:rsidRDefault="000C0BAF" w:rsidP="00514BE1">
            <w:pPr>
              <w:numPr>
                <w:ilvl w:val="0"/>
                <w:numId w:val="8"/>
              </w:numPr>
            </w:pPr>
            <w:r w:rsidRPr="008C1C22">
              <w:t>experts in prevention of Gender-based Violence,</w:t>
            </w:r>
          </w:p>
          <w:p w14:paraId="4802BE8A" w14:textId="77777777" w:rsidR="000C0BAF" w:rsidRPr="008C1C22" w:rsidRDefault="000C0BAF" w:rsidP="00514BE1">
            <w:pPr>
              <w:numPr>
                <w:ilvl w:val="0"/>
                <w:numId w:val="8"/>
              </w:numPr>
            </w:pPr>
            <w:r w:rsidRPr="008C1C22">
              <w:t>Students and Staff Members,</w:t>
            </w:r>
          </w:p>
          <w:p w14:paraId="615A03BE" w14:textId="77777777" w:rsidR="000C0BAF" w:rsidRPr="008C1C22" w:rsidRDefault="000C0BAF" w:rsidP="00514BE1">
            <w:pPr>
              <w:numPr>
                <w:ilvl w:val="0"/>
                <w:numId w:val="8"/>
              </w:numPr>
            </w:pPr>
            <w:r w:rsidRPr="008C1C22">
              <w:t>people who have experienced Gender-based Violence,</w:t>
            </w:r>
          </w:p>
          <w:p w14:paraId="1B233F02" w14:textId="77777777" w:rsidR="000C0BAF" w:rsidRPr="00860FD8" w:rsidRDefault="000C0BAF" w:rsidP="00514BE1">
            <w:pPr>
              <w:numPr>
                <w:ilvl w:val="0"/>
                <w:numId w:val="8"/>
              </w:numPr>
            </w:pPr>
            <w:r w:rsidRPr="008C1C22">
              <w:t>groups who are disproportionately affected by Gender-based Violence, including women, people who identify as Aboriginal and Torres Strait Islander, culturally and linguistically diverse communities, people with disability and people of diverse sexual orientation and gender identity.</w:t>
            </w:r>
          </w:p>
        </w:tc>
        <w:tc>
          <w:tcPr>
            <w:tcW w:w="2500" w:type="pct"/>
          </w:tcPr>
          <w:p w14:paraId="75CD7AE4" w14:textId="77777777" w:rsidR="000C0BAF" w:rsidRPr="008C1C22" w:rsidRDefault="000C0BAF" w:rsidP="000C0BAF">
            <w:pPr>
              <w:numPr>
                <w:ilvl w:val="0"/>
                <w:numId w:val="8"/>
              </w:numPr>
            </w:pPr>
            <w:r w:rsidRPr="008C1C22">
              <w:t xml:space="preserve">các chuyên gia về </w:t>
            </w:r>
            <w:r>
              <w:t>ngăn ngừa</w:t>
            </w:r>
            <w:r w:rsidRPr="008C1C22">
              <w:t xml:space="preserve"> </w:t>
            </w:r>
            <w:r>
              <w:t>Bạo lực Giới tính</w:t>
            </w:r>
            <w:r w:rsidRPr="008C1C22">
              <w:t>,</w:t>
            </w:r>
          </w:p>
          <w:p w14:paraId="733E76D6" w14:textId="77777777" w:rsidR="000C0BAF" w:rsidRPr="008C1C22" w:rsidRDefault="000C0BAF" w:rsidP="000C0BAF">
            <w:pPr>
              <w:numPr>
                <w:ilvl w:val="0"/>
                <w:numId w:val="8"/>
              </w:numPr>
            </w:pPr>
            <w:r w:rsidRPr="008C1C22">
              <w:t xml:space="preserve">Sinh viên và </w:t>
            </w:r>
            <w:r>
              <w:t>Nhân viên</w:t>
            </w:r>
            <w:r w:rsidRPr="008C1C22">
              <w:t>,</w:t>
            </w:r>
          </w:p>
          <w:p w14:paraId="64D2892A" w14:textId="77777777" w:rsidR="000C0BAF" w:rsidRPr="008C1C22" w:rsidRDefault="000C0BAF" w:rsidP="000C0BAF">
            <w:pPr>
              <w:numPr>
                <w:ilvl w:val="0"/>
                <w:numId w:val="8"/>
              </w:numPr>
            </w:pPr>
            <w:r>
              <w:t>người từng bị Bạo lực Giới tính</w:t>
            </w:r>
            <w:r w:rsidRPr="008C1C22">
              <w:t>,</w:t>
            </w:r>
          </w:p>
          <w:p w14:paraId="2A85E76D" w14:textId="77777777" w:rsidR="000C0BAF" w:rsidRPr="00860FD8" w:rsidRDefault="000C0BAF" w:rsidP="000C0BAF">
            <w:pPr>
              <w:numPr>
                <w:ilvl w:val="0"/>
                <w:numId w:val="8"/>
              </w:numPr>
            </w:pPr>
            <w:r>
              <w:t>c</w:t>
            </w:r>
            <w:r w:rsidRPr="008C1C22">
              <w:t>ác nhóm bị ảnh hưởng</w:t>
            </w:r>
            <w:r>
              <w:t xml:space="preserve"> Bạo lực Giới tính</w:t>
            </w:r>
            <w:r w:rsidRPr="008C1C22">
              <w:t xml:space="preserve"> nặng nề hơn bao gồm phụ nữ, người tự nhận mình là thổ dân và </w:t>
            </w:r>
            <w:r>
              <w:t>dân đảo</w:t>
            </w:r>
            <w:r w:rsidRPr="008C1C22">
              <w:t xml:space="preserve"> Torres Strait, các cộng đồng </w:t>
            </w:r>
            <w:r>
              <w:t>văn hóa và ngôn ngữ đa dạng</w:t>
            </w:r>
            <w:r w:rsidRPr="008C1C22">
              <w:t>, người khuyết tật và người có xu hướng tình dục và bản dạng giới đa dạng.</w:t>
            </w:r>
          </w:p>
        </w:tc>
      </w:tr>
      <w:tr w:rsidR="000C0BAF" w14:paraId="23F8B952" w14:textId="77777777" w:rsidTr="00C76A1C">
        <w:tc>
          <w:tcPr>
            <w:tcW w:w="2500" w:type="pct"/>
          </w:tcPr>
          <w:p w14:paraId="2A588F15" w14:textId="77777777" w:rsidR="000C0BAF" w:rsidRDefault="000C0BAF" w:rsidP="00514BE1">
            <w:r w:rsidRPr="008C1C22">
              <w:t>The University will only use non-disclosure agreements in accordance with the National Code and other applicable law.</w:t>
            </w:r>
          </w:p>
          <w:p w14:paraId="1FC39945" w14:textId="77777777" w:rsidR="000C0BAF" w:rsidRPr="008C1C22" w:rsidRDefault="000C0BAF" w:rsidP="00514BE1"/>
          <w:p w14:paraId="37E785D6" w14:textId="77777777" w:rsidR="000C0BAF" w:rsidRPr="00860FD8" w:rsidRDefault="000C0BAF" w:rsidP="00514BE1">
            <w:r w:rsidRPr="008C1C22">
              <w:t>The University will regularly review and refine prevention and response approaches based on de-identified data trends, community feedback, and best practice guidelines.</w:t>
            </w:r>
          </w:p>
        </w:tc>
        <w:tc>
          <w:tcPr>
            <w:tcW w:w="2500" w:type="pct"/>
          </w:tcPr>
          <w:p w14:paraId="199EE0B3" w14:textId="77777777" w:rsidR="000C0BAF" w:rsidRDefault="000C0BAF" w:rsidP="000D2608">
            <w:r>
              <w:t>Trường Đại họ</w:t>
            </w:r>
            <w:r w:rsidRPr="008C1C22">
              <w:t xml:space="preserve">c chỉ sử dụng các thỏa thuận bảo mật thông tin theo đúng </w:t>
            </w:r>
            <w:r>
              <w:t>Bộ luật Toàn quốc</w:t>
            </w:r>
            <w:r w:rsidRPr="008C1C22">
              <w:t xml:space="preserve"> và các luật hiện hành khác.</w:t>
            </w:r>
          </w:p>
          <w:p w14:paraId="0562CB0E" w14:textId="77777777" w:rsidR="000C0BAF" w:rsidRPr="008C1C22" w:rsidRDefault="000C0BAF" w:rsidP="000D2608"/>
          <w:p w14:paraId="0734766C" w14:textId="77777777" w:rsidR="000C0BAF" w:rsidRPr="00860FD8" w:rsidRDefault="000C0BAF" w:rsidP="000D2608">
            <w:r>
              <w:t>Trường Đại họ</w:t>
            </w:r>
            <w:r w:rsidRPr="008C1C22">
              <w:t xml:space="preserve">c sẽ thường xuyên </w:t>
            </w:r>
            <w:r>
              <w:t>tái duyệt</w:t>
            </w:r>
            <w:r w:rsidRPr="008C1C22">
              <w:t xml:space="preserve"> và hoàn thiện các </w:t>
            </w:r>
            <w:r>
              <w:t>cách thức ngăn ngừa</w:t>
            </w:r>
            <w:r w:rsidRPr="008C1C22">
              <w:t xml:space="preserve"> và ứng phó dựa trên xu hướng dữ liệu </w:t>
            </w:r>
            <w:r>
              <w:t>đã xóa chi tiết nhận dạng</w:t>
            </w:r>
            <w:r w:rsidRPr="008C1C22">
              <w:t xml:space="preserve">, </w:t>
            </w:r>
            <w:r>
              <w:t>ý kiến phản hồi của cộng đồng</w:t>
            </w:r>
            <w:r w:rsidRPr="008C1C22">
              <w:t xml:space="preserve"> và các hướng dẫn về </w:t>
            </w:r>
            <w:r>
              <w:t>quy cách thực hành</w:t>
            </w:r>
            <w:r w:rsidRPr="008C1C22">
              <w:t xml:space="preserve"> tốt nhất.</w:t>
            </w:r>
          </w:p>
        </w:tc>
      </w:tr>
      <w:tr w:rsidR="000C0BAF" w14:paraId="77589797" w14:textId="77777777" w:rsidTr="00C76A1C">
        <w:tc>
          <w:tcPr>
            <w:tcW w:w="2500" w:type="pct"/>
          </w:tcPr>
          <w:p w14:paraId="2F76F2BD" w14:textId="77777777" w:rsidR="000C0BAF" w:rsidRPr="00167DD6" w:rsidRDefault="000C0BAF" w:rsidP="00514BE1">
            <w:pPr>
              <w:rPr>
                <w:b/>
                <w:bCs/>
              </w:rPr>
            </w:pPr>
            <w:r w:rsidRPr="00167DD6">
              <w:rPr>
                <w:b/>
                <w:bCs/>
              </w:rPr>
              <w:t>6. Roles and responsibilities</w:t>
            </w:r>
          </w:p>
        </w:tc>
        <w:tc>
          <w:tcPr>
            <w:tcW w:w="2500" w:type="pct"/>
          </w:tcPr>
          <w:p w14:paraId="3DDDFABB" w14:textId="77777777" w:rsidR="000C0BAF" w:rsidRPr="00167DD6" w:rsidRDefault="000C0BAF" w:rsidP="000D2608">
            <w:pPr>
              <w:rPr>
                <w:b/>
                <w:bCs/>
              </w:rPr>
            </w:pPr>
            <w:r w:rsidRPr="00167DD6">
              <w:rPr>
                <w:b/>
                <w:bCs/>
              </w:rPr>
              <w:t>6. Vai trò và trách nhiệm</w:t>
            </w:r>
          </w:p>
        </w:tc>
      </w:tr>
      <w:tr w:rsidR="000C0BAF" w14:paraId="4380146F" w14:textId="77777777" w:rsidTr="00C76A1C">
        <w:tc>
          <w:tcPr>
            <w:tcW w:w="2500" w:type="pct"/>
          </w:tcPr>
          <w:p w14:paraId="7810568A" w14:textId="77777777" w:rsidR="000C0BAF" w:rsidRPr="00860FD8" w:rsidRDefault="000C0BAF" w:rsidP="00514BE1">
            <w:r w:rsidRPr="00167DD6">
              <w:t>Role</w:t>
            </w:r>
          </w:p>
        </w:tc>
        <w:tc>
          <w:tcPr>
            <w:tcW w:w="2500" w:type="pct"/>
          </w:tcPr>
          <w:p w14:paraId="4B60FB1E" w14:textId="77777777" w:rsidR="000C0BAF" w:rsidRPr="00860FD8" w:rsidRDefault="000C0BAF" w:rsidP="000D2608">
            <w:r w:rsidRPr="00167DD6">
              <w:t>Vai trò</w:t>
            </w:r>
          </w:p>
        </w:tc>
      </w:tr>
      <w:tr w:rsidR="000C0BAF" w14:paraId="0D7E5D88" w14:textId="77777777" w:rsidTr="00C76A1C">
        <w:tc>
          <w:tcPr>
            <w:tcW w:w="2500" w:type="pct"/>
          </w:tcPr>
          <w:p w14:paraId="2AD40A83" w14:textId="77777777" w:rsidR="000C0BAF" w:rsidRPr="00860FD8" w:rsidRDefault="000C0BAF" w:rsidP="00514BE1">
            <w:r w:rsidRPr="00167DD6">
              <w:t>Responsibilities</w:t>
            </w:r>
          </w:p>
        </w:tc>
        <w:tc>
          <w:tcPr>
            <w:tcW w:w="2500" w:type="pct"/>
          </w:tcPr>
          <w:p w14:paraId="5ABC1362" w14:textId="77777777" w:rsidR="000C0BAF" w:rsidRPr="00860FD8" w:rsidRDefault="000C0BAF" w:rsidP="000D2608">
            <w:r w:rsidRPr="00167DD6">
              <w:t>Trách nhiệm</w:t>
            </w:r>
          </w:p>
        </w:tc>
      </w:tr>
      <w:tr w:rsidR="000C0BAF" w14:paraId="576EC5BA" w14:textId="77777777" w:rsidTr="00C76A1C">
        <w:tc>
          <w:tcPr>
            <w:tcW w:w="2500" w:type="pct"/>
          </w:tcPr>
          <w:p w14:paraId="22FC25FE" w14:textId="77777777" w:rsidR="000C0BAF" w:rsidRPr="00860FD8" w:rsidRDefault="000C0BAF" w:rsidP="00514BE1">
            <w:r w:rsidRPr="00167DD6">
              <w:t>Students and Staff Members</w:t>
            </w:r>
          </w:p>
        </w:tc>
        <w:tc>
          <w:tcPr>
            <w:tcW w:w="2500" w:type="pct"/>
          </w:tcPr>
          <w:p w14:paraId="5ED38C4B" w14:textId="77777777" w:rsidR="000C0BAF" w:rsidRPr="00860FD8" w:rsidRDefault="000C0BAF" w:rsidP="000D2608">
            <w:r w:rsidRPr="00167DD6">
              <w:t xml:space="preserve">Sinh viên và </w:t>
            </w:r>
            <w:r>
              <w:t>Nhân viên</w:t>
            </w:r>
          </w:p>
        </w:tc>
      </w:tr>
      <w:tr w:rsidR="000C0BAF" w14:paraId="56DC5372" w14:textId="77777777" w:rsidTr="00C76A1C">
        <w:tc>
          <w:tcPr>
            <w:tcW w:w="2500" w:type="pct"/>
          </w:tcPr>
          <w:p w14:paraId="73653F7A" w14:textId="77777777" w:rsidR="000C0BAF" w:rsidRPr="00860FD8" w:rsidRDefault="000C0BAF" w:rsidP="00514BE1">
            <w:r w:rsidRPr="00167DD6">
              <w:t>all University community members are responsible for upholding the principles of this Policy and contributing to a safe, inclusive and respectful environment.</w:t>
            </w:r>
          </w:p>
        </w:tc>
        <w:tc>
          <w:tcPr>
            <w:tcW w:w="2500" w:type="pct"/>
          </w:tcPr>
          <w:p w14:paraId="2E2960E1" w14:textId="77777777" w:rsidR="000C0BAF" w:rsidRPr="00860FD8" w:rsidRDefault="000C0BAF" w:rsidP="000D2608">
            <w:r>
              <w:t>t</w:t>
            </w:r>
            <w:r w:rsidRPr="00167DD6">
              <w:t xml:space="preserve">ất cả các thành viên cộng đồng </w:t>
            </w:r>
            <w:r>
              <w:t>trường Đại họ</w:t>
            </w:r>
            <w:r w:rsidRPr="00167DD6">
              <w:t xml:space="preserve">c đều có trách nhiệm duy trì các nguyên tắc của Chính sách này và đóng góp </w:t>
            </w:r>
            <w:r>
              <w:t>vào</w:t>
            </w:r>
            <w:r w:rsidRPr="00167DD6">
              <w:t xml:space="preserve"> môi trường an toàn, hòa nhập và tôn trọng.</w:t>
            </w:r>
          </w:p>
        </w:tc>
      </w:tr>
      <w:tr w:rsidR="000C0BAF" w14:paraId="345845F1" w14:textId="77777777" w:rsidTr="00C76A1C">
        <w:tc>
          <w:tcPr>
            <w:tcW w:w="2500" w:type="pct"/>
          </w:tcPr>
          <w:p w14:paraId="60385415" w14:textId="77777777" w:rsidR="000C0BAF" w:rsidRPr="00860FD8" w:rsidRDefault="000C0BAF" w:rsidP="00514BE1">
            <w:r w:rsidRPr="00167DD6">
              <w:t>Safer Community</w:t>
            </w:r>
          </w:p>
        </w:tc>
        <w:tc>
          <w:tcPr>
            <w:tcW w:w="2500" w:type="pct"/>
          </w:tcPr>
          <w:p w14:paraId="33F70051" w14:textId="77777777" w:rsidR="000C0BAF" w:rsidRPr="00860FD8" w:rsidRDefault="000C0BAF" w:rsidP="000D2608">
            <w:r w:rsidRPr="00167DD6">
              <w:t xml:space="preserve">Safer Community </w:t>
            </w:r>
            <w:r>
              <w:t>(</w:t>
            </w:r>
            <w:r w:rsidRPr="00167DD6">
              <w:t xml:space="preserve">Cộng đồng </w:t>
            </w:r>
            <w:r>
              <w:t>A</w:t>
            </w:r>
            <w:r w:rsidRPr="00167DD6">
              <w:t xml:space="preserve">n toàn </w:t>
            </w:r>
            <w:r>
              <w:t>H</w:t>
            </w:r>
            <w:r w:rsidRPr="00167DD6">
              <w:t>ơn</w:t>
            </w:r>
            <w:r>
              <w:t>)</w:t>
            </w:r>
            <w:r w:rsidRPr="00167DD6">
              <w:t>.</w:t>
            </w:r>
          </w:p>
        </w:tc>
      </w:tr>
      <w:tr w:rsidR="000C0BAF" w14:paraId="63FF2953" w14:textId="77777777" w:rsidTr="00C76A1C">
        <w:tc>
          <w:tcPr>
            <w:tcW w:w="2500" w:type="pct"/>
          </w:tcPr>
          <w:p w14:paraId="7086306A" w14:textId="77777777" w:rsidR="000C0BAF" w:rsidRPr="00860FD8" w:rsidRDefault="000C0BAF" w:rsidP="00514BE1">
            <w:r w:rsidRPr="00167DD6">
              <w:t>safer Community is the primary point of contact for all Disclosures and Formal Reports of Gender-based Violence by students and is responsible for coordinating the University’s response, including assessing and managing risk relating to Student conduct and ensuring that relevant support services and resources are made available. Staff who become aware of, or have concerns about, student related conduct that may involve Gender-based Violence must make a Disclosure to Safer Community.</w:t>
            </w:r>
          </w:p>
        </w:tc>
        <w:tc>
          <w:tcPr>
            <w:tcW w:w="2500" w:type="pct"/>
          </w:tcPr>
          <w:p w14:paraId="30CF528E" w14:textId="77777777" w:rsidR="000C0BAF" w:rsidRPr="00860FD8" w:rsidRDefault="000C0BAF" w:rsidP="000D2608">
            <w:r w:rsidRPr="00167DD6">
              <w:t xml:space="preserve">Safer Community là đầu mối liên hệ chính cho tất cả các </w:t>
            </w:r>
            <w:r>
              <w:t>Đơn tố cáo và Báo cáo Chính thức</w:t>
            </w:r>
            <w:r w:rsidRPr="00167DD6">
              <w:t xml:space="preserve"> về </w:t>
            </w:r>
            <w:r>
              <w:t>Bạo lực Giới tính</w:t>
            </w:r>
            <w:r w:rsidRPr="00167DD6">
              <w:t xml:space="preserve"> </w:t>
            </w:r>
            <w:r>
              <w:t>của</w:t>
            </w:r>
            <w:r w:rsidRPr="00167DD6">
              <w:t xml:space="preserve"> sinh viên và chịu trách nhiệm điều phối phản ứng của </w:t>
            </w:r>
            <w:r>
              <w:t>trường Đại họ</w:t>
            </w:r>
            <w:r w:rsidRPr="00167DD6">
              <w:t xml:space="preserve">c, bao gồm đánh giá và quản lý </w:t>
            </w:r>
            <w:r>
              <w:t>nguy cơ</w:t>
            </w:r>
            <w:r w:rsidRPr="00167DD6">
              <w:t xml:space="preserve"> liên quan đến hành vi của </w:t>
            </w:r>
            <w:r>
              <w:t>S</w:t>
            </w:r>
            <w:r w:rsidRPr="00167DD6">
              <w:t xml:space="preserve">inh viên và đảm bảo rằng </w:t>
            </w:r>
            <w:r>
              <w:t xml:space="preserve">sẽ có </w:t>
            </w:r>
            <w:r w:rsidRPr="00167DD6">
              <w:t>các dịch vụ và nguồn lực hỗ trợ cần thiết. Nhân viên nào biết được hoặ</w:t>
            </w:r>
            <w:r>
              <w:t xml:space="preserve">c </w:t>
            </w:r>
            <w:r w:rsidRPr="00167DD6">
              <w:t xml:space="preserve">lo ngại về hành vi liên quan đến sinh viên có thể </w:t>
            </w:r>
            <w:r>
              <w:t>dính líu</w:t>
            </w:r>
            <w:r w:rsidRPr="00167DD6">
              <w:t xml:space="preserve"> đến </w:t>
            </w:r>
            <w:r>
              <w:t>Bạo lực Giới tính</w:t>
            </w:r>
            <w:r w:rsidRPr="00167DD6">
              <w:t xml:space="preserve"> phải</w:t>
            </w:r>
            <w:r>
              <w:t xml:space="preserve"> nộp Đơn</w:t>
            </w:r>
            <w:r w:rsidRPr="00167DD6">
              <w:t xml:space="preserve"> </w:t>
            </w:r>
            <w:r>
              <w:t>tố cáo với</w:t>
            </w:r>
            <w:r w:rsidRPr="00167DD6">
              <w:t xml:space="preserve"> Safer Community.</w:t>
            </w:r>
          </w:p>
        </w:tc>
      </w:tr>
      <w:tr w:rsidR="000C0BAF" w14:paraId="43C9BD30" w14:textId="77777777" w:rsidTr="00C76A1C">
        <w:tc>
          <w:tcPr>
            <w:tcW w:w="2500" w:type="pct"/>
          </w:tcPr>
          <w:p w14:paraId="06A59D30" w14:textId="77777777" w:rsidR="000C0BAF" w:rsidRPr="00860FD8" w:rsidRDefault="000C0BAF" w:rsidP="00514BE1">
            <w:r w:rsidRPr="00167DD6">
              <w:t>People &amp; Culture</w:t>
            </w:r>
          </w:p>
        </w:tc>
        <w:tc>
          <w:tcPr>
            <w:tcW w:w="2500" w:type="pct"/>
          </w:tcPr>
          <w:p w14:paraId="260C35F3" w14:textId="77777777" w:rsidR="000C0BAF" w:rsidRPr="00860FD8" w:rsidRDefault="000C0BAF" w:rsidP="000D2608">
            <w:r>
              <w:t>Nhân sự</w:t>
            </w:r>
            <w:r w:rsidRPr="00167DD6">
              <w:t xml:space="preserve"> </w:t>
            </w:r>
            <w:r>
              <w:t>&amp;</w:t>
            </w:r>
            <w:r w:rsidRPr="00167DD6">
              <w:t xml:space="preserve"> Văn hóa</w:t>
            </w:r>
          </w:p>
        </w:tc>
      </w:tr>
      <w:tr w:rsidR="000C0BAF" w14:paraId="63B168EE" w14:textId="77777777" w:rsidTr="00C76A1C">
        <w:tc>
          <w:tcPr>
            <w:tcW w:w="2500" w:type="pct"/>
          </w:tcPr>
          <w:p w14:paraId="3010D44A" w14:textId="77777777" w:rsidR="000C0BAF" w:rsidRPr="00860FD8" w:rsidRDefault="000C0BAF" w:rsidP="00514BE1">
            <w:r w:rsidRPr="00167DD6">
              <w:t>People and Culture are accountable for the oversight of processes undertaken by the University in respect of Disclosures and Formal Reports of Gender-based Violence by Staff Members.</w:t>
            </w:r>
          </w:p>
        </w:tc>
        <w:tc>
          <w:tcPr>
            <w:tcW w:w="2500" w:type="pct"/>
          </w:tcPr>
          <w:p w14:paraId="7249CF43" w14:textId="77777777" w:rsidR="000C0BAF" w:rsidRPr="00860FD8" w:rsidRDefault="000C0BAF" w:rsidP="000D2608">
            <w:r w:rsidRPr="00167DD6">
              <w:t xml:space="preserve">Bộ phận </w:t>
            </w:r>
            <w:r>
              <w:t>Nhân sự và Văn hóa</w:t>
            </w:r>
            <w:r w:rsidRPr="00167DD6">
              <w:t xml:space="preserve"> chịu trách nhiệm giám sát các quy trình do </w:t>
            </w:r>
            <w:r>
              <w:t>trường Đại họ</w:t>
            </w:r>
            <w:r w:rsidRPr="00167DD6">
              <w:t xml:space="preserve">c thực hiện liên quan đến </w:t>
            </w:r>
            <w:r>
              <w:t>Đơn tố cáo</w:t>
            </w:r>
            <w:r w:rsidRPr="00167DD6">
              <w:t xml:space="preserve"> và </w:t>
            </w:r>
            <w:r>
              <w:t>Báo cáo Chính thức</w:t>
            </w:r>
            <w:r w:rsidRPr="00167DD6">
              <w:t xml:space="preserve"> về </w:t>
            </w:r>
            <w:r>
              <w:t>Bạo lực Giới tính</w:t>
            </w:r>
            <w:r w:rsidRPr="00167DD6">
              <w:t xml:space="preserve"> do các thành viên trong đội ngũ </w:t>
            </w:r>
            <w:r>
              <w:t>Nhân viên</w:t>
            </w:r>
            <w:r w:rsidRPr="00167DD6">
              <w:t xml:space="preserve"> gây ra.</w:t>
            </w:r>
          </w:p>
        </w:tc>
      </w:tr>
      <w:tr w:rsidR="000C0BAF" w14:paraId="24FD98D6" w14:textId="77777777" w:rsidTr="00C76A1C">
        <w:tc>
          <w:tcPr>
            <w:tcW w:w="2500" w:type="pct"/>
          </w:tcPr>
          <w:p w14:paraId="654D76A1" w14:textId="77777777" w:rsidR="000C0BAF" w:rsidRPr="00860FD8" w:rsidRDefault="000C0BAF" w:rsidP="00514BE1">
            <w:r w:rsidRPr="00167DD6">
              <w:t>People Leaders</w:t>
            </w:r>
          </w:p>
        </w:tc>
        <w:tc>
          <w:tcPr>
            <w:tcW w:w="2500" w:type="pct"/>
          </w:tcPr>
          <w:p w14:paraId="4DB34EE5" w14:textId="77777777" w:rsidR="000C0BAF" w:rsidRPr="00860FD8" w:rsidRDefault="000C0BAF" w:rsidP="000D2608">
            <w:r w:rsidRPr="00167DD6">
              <w:t xml:space="preserve">Những lãnh </w:t>
            </w:r>
            <w:r>
              <w:t>đạo nhân sự</w:t>
            </w:r>
          </w:p>
        </w:tc>
      </w:tr>
      <w:tr w:rsidR="000C0BAF" w14:paraId="461A3A1C" w14:textId="77777777" w:rsidTr="00C76A1C">
        <w:tc>
          <w:tcPr>
            <w:tcW w:w="2500" w:type="pct"/>
          </w:tcPr>
          <w:p w14:paraId="701A4B03" w14:textId="77777777" w:rsidR="000C0BAF" w:rsidRPr="00860FD8" w:rsidRDefault="000C0BAF" w:rsidP="00514BE1">
            <w:r w:rsidRPr="00167DD6">
              <w:t>people leaders are accountable for the safety, inclusivity and respectfulness of the workplaces for which they have responsibility. People leaders may be the first point of contact for Disclosers.</w:t>
            </w:r>
          </w:p>
        </w:tc>
        <w:tc>
          <w:tcPr>
            <w:tcW w:w="2500" w:type="pct"/>
          </w:tcPr>
          <w:p w14:paraId="5AA8FA02" w14:textId="77777777" w:rsidR="000C0BAF" w:rsidRPr="00860FD8" w:rsidRDefault="000C0BAF" w:rsidP="000D2608">
            <w:r w:rsidRPr="00167DD6">
              <w:t xml:space="preserve">Những người lãnh </w:t>
            </w:r>
            <w:r>
              <w:t>đạo nhân sự</w:t>
            </w:r>
            <w:r w:rsidRPr="00167DD6">
              <w:t xml:space="preserve"> chịu trách nhiệm về an toàn, hòa nhập và tôn trọng trong môi trường làm việc họ quản lý. Họ cũng có thể là người đầu tiên mà </w:t>
            </w:r>
            <w:r>
              <w:t>Người tố cáo</w:t>
            </w:r>
            <w:r w:rsidRPr="00167DD6">
              <w:t xml:space="preserve"> cần liên hệ.</w:t>
            </w:r>
          </w:p>
        </w:tc>
      </w:tr>
      <w:tr w:rsidR="000C0BAF" w14:paraId="67036F78" w14:textId="77777777" w:rsidTr="00C76A1C">
        <w:tc>
          <w:tcPr>
            <w:tcW w:w="2500" w:type="pct"/>
          </w:tcPr>
          <w:p w14:paraId="1FF5AF82" w14:textId="77777777" w:rsidR="000C0BAF" w:rsidRPr="00167DD6" w:rsidRDefault="000C0BAF" w:rsidP="00514BE1">
            <w:pPr>
              <w:rPr>
                <w:b/>
                <w:bCs/>
              </w:rPr>
            </w:pPr>
            <w:r w:rsidRPr="00167DD6">
              <w:rPr>
                <w:b/>
                <w:bCs/>
              </w:rPr>
              <w:t>7. Review</w:t>
            </w:r>
          </w:p>
        </w:tc>
        <w:tc>
          <w:tcPr>
            <w:tcW w:w="2500" w:type="pct"/>
          </w:tcPr>
          <w:p w14:paraId="40863E49" w14:textId="77777777" w:rsidR="000C0BAF" w:rsidRPr="00167DD6" w:rsidRDefault="000C0BAF" w:rsidP="000D2608">
            <w:pPr>
              <w:rPr>
                <w:b/>
                <w:bCs/>
              </w:rPr>
            </w:pPr>
            <w:r w:rsidRPr="00167DD6">
              <w:rPr>
                <w:b/>
                <w:bCs/>
              </w:rPr>
              <w:t xml:space="preserve">7. </w:t>
            </w:r>
            <w:r>
              <w:rPr>
                <w:b/>
                <w:bCs/>
              </w:rPr>
              <w:t>Tái duyệt</w:t>
            </w:r>
          </w:p>
        </w:tc>
      </w:tr>
      <w:tr w:rsidR="000C0BAF" w14:paraId="74FB9321" w14:textId="77777777" w:rsidTr="00C76A1C">
        <w:tc>
          <w:tcPr>
            <w:tcW w:w="2500" w:type="pct"/>
          </w:tcPr>
          <w:p w14:paraId="1A75D633" w14:textId="77777777" w:rsidR="000C0BAF" w:rsidRPr="00860FD8" w:rsidRDefault="000C0BAF" w:rsidP="00514BE1">
            <w:r w:rsidRPr="00167DD6">
              <w:t>The implementation of this Policy will be regularly monitored to ensure compliance and effectiveness, including an annual review. De-identified data will be analysed to identify trends and inform future policy updates.</w:t>
            </w:r>
          </w:p>
        </w:tc>
        <w:tc>
          <w:tcPr>
            <w:tcW w:w="2500" w:type="pct"/>
          </w:tcPr>
          <w:p w14:paraId="7A11EC71" w14:textId="77777777" w:rsidR="000C0BAF" w:rsidRPr="00860FD8" w:rsidRDefault="000C0BAF" w:rsidP="000D2608">
            <w:r w:rsidRPr="00167DD6">
              <w:t xml:space="preserve">Việc thực hiện Chính sách này sẽ được giám sát thường xuyên để đảm bảo </w:t>
            </w:r>
            <w:r>
              <w:t xml:space="preserve">việc </w:t>
            </w:r>
            <w:r w:rsidRPr="00167DD6">
              <w:t xml:space="preserve">tuân thủ và hiệu quả, </w:t>
            </w:r>
            <w:r>
              <w:t>kể cả</w:t>
            </w:r>
            <w:r w:rsidRPr="00167DD6">
              <w:t xml:space="preserve"> </w:t>
            </w:r>
            <w:r>
              <w:t>tái duyệt</w:t>
            </w:r>
            <w:r w:rsidRPr="00167DD6">
              <w:t xml:space="preserve"> hàng năm. Dữ liệu </w:t>
            </w:r>
            <w:r>
              <w:t>đã xóa chi tiết nhận dạng</w:t>
            </w:r>
            <w:r w:rsidRPr="00167DD6">
              <w:t xml:space="preserve"> sẽ được phân tích </w:t>
            </w:r>
            <w:r>
              <w:t>nhằm mục đích</w:t>
            </w:r>
            <w:r w:rsidRPr="00167DD6">
              <w:t xml:space="preserve"> xác định xu hướng và phục vụ cho </w:t>
            </w:r>
            <w:r>
              <w:t xml:space="preserve">công </w:t>
            </w:r>
            <w:r w:rsidRPr="00167DD6">
              <w:t>việc cập nhật chính sách trong tương lai.</w:t>
            </w:r>
          </w:p>
        </w:tc>
      </w:tr>
      <w:tr w:rsidR="000C0BAF" w14:paraId="671BDFA7" w14:textId="77777777" w:rsidTr="00C76A1C">
        <w:tc>
          <w:tcPr>
            <w:tcW w:w="2500" w:type="pct"/>
          </w:tcPr>
          <w:p w14:paraId="3FD9DE64" w14:textId="77777777" w:rsidR="000C0BAF" w:rsidRPr="00167DD6" w:rsidRDefault="000C0BAF" w:rsidP="00514BE1">
            <w:pPr>
              <w:rPr>
                <w:b/>
                <w:bCs/>
              </w:rPr>
            </w:pPr>
            <w:r w:rsidRPr="00167DD6">
              <w:rPr>
                <w:b/>
                <w:bCs/>
              </w:rPr>
              <w:t>Delegations</w:t>
            </w:r>
          </w:p>
        </w:tc>
        <w:tc>
          <w:tcPr>
            <w:tcW w:w="2500" w:type="pct"/>
          </w:tcPr>
          <w:p w14:paraId="4252B984" w14:textId="77777777" w:rsidR="000C0BAF" w:rsidRPr="00167DD6" w:rsidRDefault="000C0BAF" w:rsidP="000D2608">
            <w:pPr>
              <w:rPr>
                <w:b/>
                <w:bCs/>
              </w:rPr>
            </w:pPr>
            <w:r>
              <w:rPr>
                <w:b/>
                <w:bCs/>
              </w:rPr>
              <w:t>Ủy quyền</w:t>
            </w:r>
          </w:p>
        </w:tc>
      </w:tr>
      <w:tr w:rsidR="000C0BAF" w14:paraId="076650DE" w14:textId="77777777" w:rsidTr="00C76A1C">
        <w:tc>
          <w:tcPr>
            <w:tcW w:w="2500" w:type="pct"/>
          </w:tcPr>
          <w:p w14:paraId="4700AC55" w14:textId="77777777" w:rsidR="000C0BAF" w:rsidRPr="00860FD8" w:rsidRDefault="000C0BAF" w:rsidP="00514BE1">
            <w:r w:rsidRPr="00167DD6">
              <w:t>This Policy includes, where indicated at section 6 ‘Roles and Responsibilities’, delegation of power by the Vice-Chancellor under section 26(7) of the</w:t>
            </w:r>
            <w:r w:rsidRPr="00167DD6">
              <w:rPr>
                <w:rFonts w:ascii="Arial" w:hAnsi="Arial" w:cs="Arial"/>
              </w:rPr>
              <w:t> </w:t>
            </w:r>
            <w:r w:rsidRPr="00167DD6">
              <w:t>Swinburne University of Technology Act 2010.</w:t>
            </w:r>
          </w:p>
        </w:tc>
        <w:tc>
          <w:tcPr>
            <w:tcW w:w="2500" w:type="pct"/>
          </w:tcPr>
          <w:p w14:paraId="0BB8AE85" w14:textId="77777777" w:rsidR="000C0BAF" w:rsidRPr="009B6BBF" w:rsidRDefault="000C0BAF" w:rsidP="000D2608">
            <w:r w:rsidRPr="009B6BBF">
              <w:t>Chính sách này bao gồm, như nêu tại mục 6 'Vai trò và Trách nhiệm', việc ủy quyền của Hiệu trưởng theo mục 26(7)</w:t>
            </w:r>
            <w:r w:rsidRPr="009B6BBF">
              <w:rPr>
                <w:rFonts w:ascii="Arial" w:hAnsi="Arial" w:cs="Arial"/>
              </w:rPr>
              <w:t> </w:t>
            </w:r>
            <w:r w:rsidRPr="009B6BBF">
              <w:t>Đạo luật Trường Đại học Công nghệ Swinburne 2010.</w:t>
            </w:r>
          </w:p>
        </w:tc>
      </w:tr>
      <w:tr w:rsidR="000C0BAF" w14:paraId="595A2EF0" w14:textId="77777777" w:rsidTr="00C76A1C">
        <w:tc>
          <w:tcPr>
            <w:tcW w:w="2500" w:type="pct"/>
          </w:tcPr>
          <w:p w14:paraId="3DBFE48D" w14:textId="77777777" w:rsidR="000C0BAF" w:rsidRPr="00167DD6" w:rsidRDefault="000C0BAF" w:rsidP="00514BE1">
            <w:pPr>
              <w:rPr>
                <w:b/>
                <w:bCs/>
              </w:rPr>
            </w:pPr>
            <w:r w:rsidRPr="00167DD6">
              <w:rPr>
                <w:b/>
                <w:bCs/>
              </w:rPr>
              <w:t>Policy details</w:t>
            </w:r>
          </w:p>
        </w:tc>
        <w:tc>
          <w:tcPr>
            <w:tcW w:w="2500" w:type="pct"/>
          </w:tcPr>
          <w:p w14:paraId="00784D37" w14:textId="77777777" w:rsidR="000C0BAF" w:rsidRPr="009B6BBF" w:rsidRDefault="000C0BAF" w:rsidP="000D2608">
            <w:pPr>
              <w:rPr>
                <w:b/>
                <w:bCs/>
              </w:rPr>
            </w:pPr>
            <w:r w:rsidRPr="009B6BBF">
              <w:rPr>
                <w:b/>
                <w:bCs/>
              </w:rPr>
              <w:t>Chi tiết chính sách</w:t>
            </w:r>
          </w:p>
        </w:tc>
      </w:tr>
      <w:tr w:rsidR="000C0BAF" w14:paraId="4D83EEBE" w14:textId="77777777" w:rsidTr="00C76A1C">
        <w:tc>
          <w:tcPr>
            <w:tcW w:w="2500" w:type="pct"/>
          </w:tcPr>
          <w:p w14:paraId="0D4B025D" w14:textId="77777777" w:rsidR="000C0BAF" w:rsidRPr="00860FD8" w:rsidRDefault="000C0BAF" w:rsidP="00514BE1">
            <w:r>
              <w:t>Domain / Subdomain</w:t>
            </w:r>
          </w:p>
        </w:tc>
        <w:tc>
          <w:tcPr>
            <w:tcW w:w="2500" w:type="pct"/>
          </w:tcPr>
          <w:p w14:paraId="01E81815" w14:textId="77777777" w:rsidR="000C0BAF" w:rsidRPr="009B6BBF" w:rsidRDefault="000C0BAF" w:rsidP="000D2608">
            <w:r w:rsidRPr="009B6BBF">
              <w:t>Tên miền / Tên miền phụ</w:t>
            </w:r>
          </w:p>
        </w:tc>
      </w:tr>
      <w:tr w:rsidR="000C0BAF" w14:paraId="5565A499" w14:textId="77777777" w:rsidTr="00C76A1C">
        <w:tc>
          <w:tcPr>
            <w:tcW w:w="2500" w:type="pct"/>
          </w:tcPr>
          <w:p w14:paraId="3B19E202" w14:textId="77777777" w:rsidR="000C0BAF" w:rsidRPr="00860FD8" w:rsidRDefault="000C0BAF" w:rsidP="00514BE1">
            <w:r w:rsidRPr="00167DD6">
              <w:t>Health, Safety and Wellbeing</w:t>
            </w:r>
            <w:r w:rsidRPr="00167DD6">
              <w:rPr>
                <w:rFonts w:ascii="Arial" w:hAnsi="Arial" w:cs="Arial"/>
              </w:rPr>
              <w:t> </w:t>
            </w:r>
          </w:p>
        </w:tc>
        <w:tc>
          <w:tcPr>
            <w:tcW w:w="2500" w:type="pct"/>
          </w:tcPr>
          <w:p w14:paraId="4CD3539D" w14:textId="77777777" w:rsidR="000C0BAF" w:rsidRPr="009B6BBF" w:rsidRDefault="000C0BAF" w:rsidP="000D2608">
            <w:r w:rsidRPr="009B6BBF">
              <w:t>Sức khỏe, An toàn và An sinh</w:t>
            </w:r>
            <w:r w:rsidRPr="009B6BBF">
              <w:rPr>
                <w:rFonts w:ascii="Arial" w:hAnsi="Arial" w:cs="Arial"/>
              </w:rPr>
              <w:t> </w:t>
            </w:r>
          </w:p>
        </w:tc>
      </w:tr>
      <w:tr w:rsidR="000C0BAF" w14:paraId="14E910E0" w14:textId="77777777" w:rsidTr="00C76A1C">
        <w:tc>
          <w:tcPr>
            <w:tcW w:w="2500" w:type="pct"/>
          </w:tcPr>
          <w:p w14:paraId="7049D992" w14:textId="77777777" w:rsidR="000C0BAF" w:rsidRPr="00860FD8" w:rsidRDefault="000C0BAF" w:rsidP="00514BE1">
            <w:r w:rsidRPr="00167DD6">
              <w:t>Approval</w:t>
            </w:r>
            <w:r w:rsidRPr="00167DD6">
              <w:rPr>
                <w:rFonts w:ascii="Arial" w:hAnsi="Arial" w:cs="Arial"/>
              </w:rPr>
              <w:t> </w:t>
            </w:r>
          </w:p>
        </w:tc>
        <w:tc>
          <w:tcPr>
            <w:tcW w:w="2500" w:type="pct"/>
          </w:tcPr>
          <w:p w14:paraId="0085BFAC" w14:textId="77777777" w:rsidR="000C0BAF" w:rsidRPr="009B6BBF" w:rsidRDefault="000C0BAF" w:rsidP="000D2608">
            <w:r w:rsidRPr="009B6BBF">
              <w:t>Phê duyệt</w:t>
            </w:r>
          </w:p>
        </w:tc>
      </w:tr>
      <w:tr w:rsidR="000C0BAF" w14:paraId="4700F8DB" w14:textId="77777777" w:rsidTr="00C76A1C">
        <w:tc>
          <w:tcPr>
            <w:tcW w:w="2500" w:type="pct"/>
          </w:tcPr>
          <w:p w14:paraId="428E9409" w14:textId="77777777" w:rsidR="000C0BAF" w:rsidRPr="00860FD8" w:rsidRDefault="000C0BAF" w:rsidP="00514BE1">
            <w:r w:rsidRPr="00167DD6">
              <w:t>Vice-Chancellor, Date: 23 December 2025</w:t>
            </w:r>
          </w:p>
        </w:tc>
        <w:tc>
          <w:tcPr>
            <w:tcW w:w="2500" w:type="pct"/>
          </w:tcPr>
          <w:p w14:paraId="056239D6" w14:textId="77777777" w:rsidR="000C0BAF" w:rsidRPr="009B6BBF" w:rsidRDefault="000C0BAF" w:rsidP="000D2608">
            <w:r w:rsidRPr="009B6BBF">
              <w:t>Hiệu trưởng, Ngày: 23 tháng 12 năm 2025</w:t>
            </w:r>
          </w:p>
        </w:tc>
      </w:tr>
      <w:tr w:rsidR="000C0BAF" w14:paraId="4E867357" w14:textId="77777777" w:rsidTr="00C76A1C">
        <w:tc>
          <w:tcPr>
            <w:tcW w:w="2500" w:type="pct"/>
          </w:tcPr>
          <w:p w14:paraId="7FC36821" w14:textId="77777777" w:rsidR="000C0BAF" w:rsidRPr="00167DD6" w:rsidRDefault="000C0BAF" w:rsidP="00514BE1">
            <w:r w:rsidRPr="00167DD6">
              <w:t>Endorsement</w:t>
            </w:r>
          </w:p>
        </w:tc>
        <w:tc>
          <w:tcPr>
            <w:tcW w:w="2500" w:type="pct"/>
          </w:tcPr>
          <w:p w14:paraId="32AE0445" w14:textId="77777777" w:rsidR="000C0BAF" w:rsidRPr="009B6BBF" w:rsidRDefault="000C0BAF" w:rsidP="000D2608">
            <w:r w:rsidRPr="009B6BBF">
              <w:t>Chứng thực</w:t>
            </w:r>
          </w:p>
        </w:tc>
      </w:tr>
      <w:tr w:rsidR="000C0BAF" w14:paraId="016897CE" w14:textId="77777777" w:rsidTr="00C76A1C">
        <w:tc>
          <w:tcPr>
            <w:tcW w:w="2500" w:type="pct"/>
          </w:tcPr>
          <w:p w14:paraId="6D8AB01A" w14:textId="77777777" w:rsidR="000C0BAF" w:rsidRDefault="000C0BAF" w:rsidP="00514BE1">
            <w:r>
              <w:t>Vice President, Service &amp; Operations &amp; Chief Operating Officer</w:t>
            </w:r>
          </w:p>
          <w:p w14:paraId="34CE0A41" w14:textId="77777777" w:rsidR="000C0BAF" w:rsidRDefault="000C0BAF" w:rsidP="00514BE1"/>
          <w:p w14:paraId="7E146940" w14:textId="77777777" w:rsidR="000C0BAF" w:rsidRDefault="000C0BAF" w:rsidP="00514BE1">
            <w:r>
              <w:t>Senior Deputy Vice-Chancellor and Chief Academic Officer</w:t>
            </w:r>
          </w:p>
          <w:p w14:paraId="62EBF3C5" w14:textId="77777777" w:rsidR="000C0BAF" w:rsidRDefault="000C0BAF" w:rsidP="00514BE1"/>
          <w:p w14:paraId="6775CDCF" w14:textId="77777777" w:rsidR="000C0BAF" w:rsidRPr="00167DD6" w:rsidRDefault="000C0BAF" w:rsidP="00514BE1">
            <w:r>
              <w:t>Deputy Vice Chancellor Education, Experience and Employability</w:t>
            </w:r>
          </w:p>
        </w:tc>
        <w:tc>
          <w:tcPr>
            <w:tcW w:w="2500" w:type="pct"/>
          </w:tcPr>
          <w:p w14:paraId="69C9678A" w14:textId="77777777" w:rsidR="000C0BAF" w:rsidRDefault="000C0BAF" w:rsidP="000D2608">
            <w:r>
              <w:t>Phó Chủ tịch, Dịch vụ &amp; Hoạt động &amp; Giám đốc Điều hành</w:t>
            </w:r>
          </w:p>
          <w:p w14:paraId="6D98A12B" w14:textId="77777777" w:rsidR="000C0BAF" w:rsidRDefault="000C0BAF" w:rsidP="000D2608"/>
          <w:p w14:paraId="2F3B10AE" w14:textId="77777777" w:rsidR="000C0BAF" w:rsidRDefault="000C0BAF" w:rsidP="000D2608">
            <w:r>
              <w:t>Phụ tá Hiệu trưởng cấp cao kiêm Trưởng phòng Học thuật</w:t>
            </w:r>
          </w:p>
          <w:p w14:paraId="2946DB82" w14:textId="77777777" w:rsidR="000C0BAF" w:rsidRDefault="000C0BAF" w:rsidP="000D2608"/>
          <w:p w14:paraId="22EFB3B4" w14:textId="77777777" w:rsidR="000C0BAF" w:rsidRPr="00167DD6" w:rsidRDefault="000C0BAF" w:rsidP="000D2608">
            <w:r>
              <w:t>Phụ tá Hiệu trưởng phụ trách Giáo dục, Trải nghiệm và Khả năng có việc làm</w:t>
            </w:r>
          </w:p>
        </w:tc>
      </w:tr>
      <w:tr w:rsidR="000C0BAF" w14:paraId="1F98DD68" w14:textId="77777777" w:rsidTr="00C76A1C">
        <w:tc>
          <w:tcPr>
            <w:tcW w:w="2500" w:type="pct"/>
          </w:tcPr>
          <w:p w14:paraId="02AC1EDD" w14:textId="77777777" w:rsidR="000C0BAF" w:rsidRPr="00167DD6" w:rsidRDefault="000C0BAF" w:rsidP="00514BE1">
            <w:r w:rsidRPr="00167DD6">
              <w:t>Policy owner</w:t>
            </w:r>
            <w:r w:rsidRPr="00167DD6">
              <w:rPr>
                <w:rFonts w:ascii="Arial" w:hAnsi="Arial" w:cs="Arial"/>
              </w:rPr>
              <w:t> </w:t>
            </w:r>
          </w:p>
        </w:tc>
        <w:tc>
          <w:tcPr>
            <w:tcW w:w="2500" w:type="pct"/>
          </w:tcPr>
          <w:p w14:paraId="4B04CEE0" w14:textId="77777777" w:rsidR="000C0BAF" w:rsidRPr="00167DD6" w:rsidRDefault="000C0BAF" w:rsidP="000D2608">
            <w:r w:rsidRPr="00167DD6">
              <w:t xml:space="preserve">Chủ </w:t>
            </w:r>
            <w:r>
              <w:t>chính sách</w:t>
            </w:r>
          </w:p>
        </w:tc>
      </w:tr>
      <w:tr w:rsidR="000C0BAF" w14:paraId="1BDD4303" w14:textId="77777777" w:rsidTr="00C76A1C">
        <w:tc>
          <w:tcPr>
            <w:tcW w:w="2500" w:type="pct"/>
          </w:tcPr>
          <w:p w14:paraId="4DEBE73B" w14:textId="77777777" w:rsidR="000C0BAF" w:rsidRPr="00167DD6" w:rsidRDefault="000C0BAF" w:rsidP="00514BE1">
            <w:r w:rsidRPr="00167DD6">
              <w:t>Vice President, Service &amp; Operations &amp; Chief Operating Officer</w:t>
            </w:r>
          </w:p>
        </w:tc>
        <w:tc>
          <w:tcPr>
            <w:tcW w:w="2500" w:type="pct"/>
          </w:tcPr>
          <w:p w14:paraId="77FA91A1" w14:textId="77777777" w:rsidR="000C0BAF" w:rsidRPr="00167DD6" w:rsidRDefault="000C0BAF" w:rsidP="000D2608">
            <w:r w:rsidRPr="00167DD6">
              <w:t xml:space="preserve">Phó Chủ tịch, Dịch vụ &amp; </w:t>
            </w:r>
            <w:r>
              <w:t>Hoạt động &amp;</w:t>
            </w:r>
            <w:r w:rsidRPr="00167DD6">
              <w:t xml:space="preserve"> Giám đốc Điều hành</w:t>
            </w:r>
          </w:p>
        </w:tc>
      </w:tr>
      <w:tr w:rsidR="000C0BAF" w14:paraId="1C7909AD" w14:textId="77777777" w:rsidTr="00C76A1C">
        <w:tc>
          <w:tcPr>
            <w:tcW w:w="2500" w:type="pct"/>
          </w:tcPr>
          <w:p w14:paraId="0F930380" w14:textId="77777777" w:rsidR="000C0BAF" w:rsidRPr="00167DD6" w:rsidRDefault="000C0BAF" w:rsidP="00514BE1">
            <w:r w:rsidRPr="00167DD6">
              <w:t>Policy author</w:t>
            </w:r>
          </w:p>
        </w:tc>
        <w:tc>
          <w:tcPr>
            <w:tcW w:w="2500" w:type="pct"/>
          </w:tcPr>
          <w:p w14:paraId="215CDA98" w14:textId="77777777" w:rsidR="000C0BAF" w:rsidRPr="00167DD6" w:rsidRDefault="000C0BAF" w:rsidP="000D2608">
            <w:r w:rsidRPr="00167DD6">
              <w:t>Tác giả chính sách</w:t>
            </w:r>
          </w:p>
        </w:tc>
      </w:tr>
      <w:tr w:rsidR="000C0BAF" w14:paraId="5C2F5C76" w14:textId="77777777" w:rsidTr="00C76A1C">
        <w:tc>
          <w:tcPr>
            <w:tcW w:w="2500" w:type="pct"/>
          </w:tcPr>
          <w:p w14:paraId="72590278" w14:textId="77777777" w:rsidR="000C0BAF" w:rsidRPr="00167DD6" w:rsidRDefault="000C0BAF" w:rsidP="00514BE1">
            <w:r w:rsidRPr="00167DD6">
              <w:t>Director Student Wellbeing and Director Integrity and Compliance</w:t>
            </w:r>
          </w:p>
        </w:tc>
        <w:tc>
          <w:tcPr>
            <w:tcW w:w="2500" w:type="pct"/>
          </w:tcPr>
          <w:p w14:paraId="55307A84" w14:textId="77777777" w:rsidR="000C0BAF" w:rsidRPr="00167DD6" w:rsidRDefault="000C0BAF" w:rsidP="000D2608">
            <w:r w:rsidRPr="00167DD6">
              <w:t xml:space="preserve">Giám đốc phụ trách </w:t>
            </w:r>
            <w:r>
              <w:t>An sinh</w:t>
            </w:r>
            <w:r w:rsidRPr="00167DD6">
              <w:t xml:space="preserve"> Sinh viên và Giám đốc phụ trách Liêm chính và Tuân thủ</w:t>
            </w:r>
          </w:p>
        </w:tc>
      </w:tr>
      <w:tr w:rsidR="000C0BAF" w14:paraId="0A780646" w14:textId="77777777" w:rsidTr="00C76A1C">
        <w:tc>
          <w:tcPr>
            <w:tcW w:w="2500" w:type="pct"/>
          </w:tcPr>
          <w:p w14:paraId="1B9FBFDD" w14:textId="77777777" w:rsidR="000C0BAF" w:rsidRPr="00167DD6" w:rsidRDefault="000C0BAF" w:rsidP="00514BE1">
            <w:r w:rsidRPr="00167DD6">
              <w:t>Status</w:t>
            </w:r>
          </w:p>
        </w:tc>
        <w:tc>
          <w:tcPr>
            <w:tcW w:w="2500" w:type="pct"/>
          </w:tcPr>
          <w:p w14:paraId="35F6F118" w14:textId="77777777" w:rsidR="000C0BAF" w:rsidRPr="00167DD6" w:rsidRDefault="000C0BAF" w:rsidP="000D2608">
            <w:r w:rsidRPr="00167DD6">
              <w:t>Trạng thái</w:t>
            </w:r>
          </w:p>
        </w:tc>
      </w:tr>
      <w:tr w:rsidR="000C0BAF" w14:paraId="72E9D64D" w14:textId="77777777" w:rsidTr="00C76A1C">
        <w:tc>
          <w:tcPr>
            <w:tcW w:w="2500" w:type="pct"/>
          </w:tcPr>
          <w:p w14:paraId="75817821" w14:textId="77777777" w:rsidR="000C0BAF" w:rsidRPr="00167DD6" w:rsidRDefault="000C0BAF" w:rsidP="00514BE1">
            <w:r w:rsidRPr="00167DD6">
              <w:t>Current</w:t>
            </w:r>
          </w:p>
        </w:tc>
        <w:tc>
          <w:tcPr>
            <w:tcW w:w="2500" w:type="pct"/>
          </w:tcPr>
          <w:p w14:paraId="5AEB1435" w14:textId="77777777" w:rsidR="000C0BAF" w:rsidRPr="00167DD6" w:rsidRDefault="000C0BAF" w:rsidP="000D2608">
            <w:r w:rsidRPr="00167DD6">
              <w:t>Hiện hành</w:t>
            </w:r>
          </w:p>
        </w:tc>
      </w:tr>
      <w:tr w:rsidR="000C0BAF" w14:paraId="1BC4770D" w14:textId="77777777" w:rsidTr="00C76A1C">
        <w:tc>
          <w:tcPr>
            <w:tcW w:w="2500" w:type="pct"/>
          </w:tcPr>
          <w:p w14:paraId="6B814A1E" w14:textId="77777777" w:rsidR="000C0BAF" w:rsidRPr="00167DD6" w:rsidRDefault="000C0BAF" w:rsidP="00514BE1">
            <w:r w:rsidRPr="00167DD6">
              <w:t>Version</w:t>
            </w:r>
          </w:p>
        </w:tc>
        <w:tc>
          <w:tcPr>
            <w:tcW w:w="2500" w:type="pct"/>
          </w:tcPr>
          <w:p w14:paraId="40424496" w14:textId="77777777" w:rsidR="000C0BAF" w:rsidRPr="00167DD6" w:rsidRDefault="000C0BAF" w:rsidP="000D2608">
            <w:r w:rsidRPr="00167DD6">
              <w:t>Phiên bản</w:t>
            </w:r>
          </w:p>
        </w:tc>
      </w:tr>
      <w:tr w:rsidR="000C0BAF" w14:paraId="1B2B3059" w14:textId="77777777" w:rsidTr="00C76A1C">
        <w:tc>
          <w:tcPr>
            <w:tcW w:w="2500" w:type="pct"/>
          </w:tcPr>
          <w:p w14:paraId="42A9C549" w14:textId="77777777" w:rsidR="000C0BAF" w:rsidRPr="00167DD6" w:rsidRDefault="000C0BAF" w:rsidP="00514BE1">
            <w:r w:rsidRPr="00167DD6">
              <w:t>V1.0, Date: 23 December 2025</w:t>
            </w:r>
          </w:p>
        </w:tc>
        <w:tc>
          <w:tcPr>
            <w:tcW w:w="2500" w:type="pct"/>
          </w:tcPr>
          <w:p w14:paraId="0546B8F4" w14:textId="77777777" w:rsidR="000C0BAF" w:rsidRPr="00167DD6" w:rsidRDefault="000C0BAF" w:rsidP="000D2608">
            <w:r w:rsidRPr="00167DD6">
              <w:t>Phiên bản 1.0, Ngày: 23 tháng 12 năm 2025</w:t>
            </w:r>
          </w:p>
        </w:tc>
      </w:tr>
      <w:tr w:rsidR="000C0BAF" w14:paraId="56ADF195" w14:textId="77777777" w:rsidTr="00C76A1C">
        <w:tc>
          <w:tcPr>
            <w:tcW w:w="2500" w:type="pct"/>
          </w:tcPr>
          <w:p w14:paraId="2030FFB8" w14:textId="77777777" w:rsidR="000C0BAF" w:rsidRPr="00167DD6" w:rsidRDefault="000C0BAF" w:rsidP="00514BE1">
            <w:r w:rsidRPr="00167DD6">
              <w:t>Review Date</w:t>
            </w:r>
          </w:p>
        </w:tc>
        <w:tc>
          <w:tcPr>
            <w:tcW w:w="2500" w:type="pct"/>
          </w:tcPr>
          <w:p w14:paraId="08FC3AF3" w14:textId="77777777" w:rsidR="000C0BAF" w:rsidRPr="00167DD6" w:rsidRDefault="000C0BAF" w:rsidP="000D2608">
            <w:r w:rsidRPr="00167DD6">
              <w:t xml:space="preserve">Ngày </w:t>
            </w:r>
            <w:r>
              <w:t>tái duyệt</w:t>
            </w:r>
          </w:p>
        </w:tc>
      </w:tr>
      <w:tr w:rsidR="000C0BAF" w14:paraId="3D10BB59" w14:textId="77777777" w:rsidTr="00C76A1C">
        <w:tc>
          <w:tcPr>
            <w:tcW w:w="2500" w:type="pct"/>
          </w:tcPr>
          <w:p w14:paraId="4B169B85" w14:textId="77777777" w:rsidR="000C0BAF" w:rsidRPr="00167DD6" w:rsidRDefault="000C0BAF" w:rsidP="00514BE1">
            <w:r w:rsidRPr="00167DD6">
              <w:t>2026</w:t>
            </w:r>
          </w:p>
        </w:tc>
        <w:tc>
          <w:tcPr>
            <w:tcW w:w="2500" w:type="pct"/>
          </w:tcPr>
          <w:p w14:paraId="627BB9B2" w14:textId="77777777" w:rsidR="000C0BAF" w:rsidRPr="00167DD6" w:rsidRDefault="000C0BAF" w:rsidP="000D2608">
            <w:r w:rsidRPr="00167DD6">
              <w:t>2026</w:t>
            </w:r>
          </w:p>
        </w:tc>
      </w:tr>
      <w:tr w:rsidR="000C0BAF" w14:paraId="4F2B5186" w14:textId="77777777" w:rsidTr="00C76A1C">
        <w:tc>
          <w:tcPr>
            <w:tcW w:w="2500" w:type="pct"/>
          </w:tcPr>
          <w:p w14:paraId="5AB22ACA" w14:textId="77777777" w:rsidR="000C0BAF" w:rsidRPr="00167DD6" w:rsidRDefault="000C0BAF" w:rsidP="00514BE1">
            <w:pPr>
              <w:rPr>
                <w:b/>
                <w:bCs/>
              </w:rPr>
            </w:pPr>
            <w:r w:rsidRPr="00167DD6">
              <w:rPr>
                <w:b/>
                <w:bCs/>
              </w:rPr>
              <w:t>History</w:t>
            </w:r>
          </w:p>
        </w:tc>
        <w:tc>
          <w:tcPr>
            <w:tcW w:w="2500" w:type="pct"/>
          </w:tcPr>
          <w:p w14:paraId="4D89DD26" w14:textId="77777777" w:rsidR="000C0BAF" w:rsidRPr="00167DD6" w:rsidRDefault="000C0BAF" w:rsidP="000D2608">
            <w:pPr>
              <w:rPr>
                <w:b/>
                <w:bCs/>
              </w:rPr>
            </w:pPr>
            <w:r w:rsidRPr="00167DD6">
              <w:rPr>
                <w:b/>
                <w:bCs/>
              </w:rPr>
              <w:t>Lịch sử</w:t>
            </w:r>
          </w:p>
        </w:tc>
      </w:tr>
      <w:tr w:rsidR="000C0BAF" w14:paraId="745DAC25" w14:textId="77777777" w:rsidTr="00C76A1C">
        <w:tc>
          <w:tcPr>
            <w:tcW w:w="2500" w:type="pct"/>
          </w:tcPr>
          <w:p w14:paraId="2AE331A5" w14:textId="77777777" w:rsidR="000C0BAF" w:rsidRPr="00167DD6" w:rsidRDefault="000C0BAF" w:rsidP="00514BE1">
            <w:r>
              <w:t>Version</w:t>
            </w:r>
          </w:p>
        </w:tc>
        <w:tc>
          <w:tcPr>
            <w:tcW w:w="2500" w:type="pct"/>
          </w:tcPr>
          <w:p w14:paraId="399676B8" w14:textId="77777777" w:rsidR="000C0BAF" w:rsidRPr="00167DD6" w:rsidRDefault="000C0BAF" w:rsidP="000D2608">
            <w:r>
              <w:t>Phiên bản</w:t>
            </w:r>
          </w:p>
        </w:tc>
      </w:tr>
      <w:tr w:rsidR="000C0BAF" w14:paraId="6016F83A" w14:textId="77777777" w:rsidTr="00C76A1C">
        <w:tc>
          <w:tcPr>
            <w:tcW w:w="2500" w:type="pct"/>
          </w:tcPr>
          <w:p w14:paraId="18D47DB4" w14:textId="77777777" w:rsidR="000C0BAF" w:rsidRPr="00167DD6" w:rsidRDefault="000C0BAF" w:rsidP="00514BE1">
            <w:r w:rsidRPr="00167DD6">
              <w:t>V1.0</w:t>
            </w:r>
          </w:p>
        </w:tc>
        <w:tc>
          <w:tcPr>
            <w:tcW w:w="2500" w:type="pct"/>
          </w:tcPr>
          <w:p w14:paraId="7B3BB692" w14:textId="77777777" w:rsidR="000C0BAF" w:rsidRPr="00167DD6" w:rsidRDefault="000C0BAF" w:rsidP="000D2608">
            <w:r w:rsidRPr="00167DD6">
              <w:t>Phiên bản 1.0</w:t>
            </w:r>
          </w:p>
        </w:tc>
      </w:tr>
      <w:tr w:rsidR="000C0BAF" w14:paraId="2B118A75" w14:textId="77777777" w:rsidTr="00C76A1C">
        <w:tc>
          <w:tcPr>
            <w:tcW w:w="2500" w:type="pct"/>
          </w:tcPr>
          <w:p w14:paraId="491072FA" w14:textId="77777777" w:rsidR="000C0BAF" w:rsidRPr="00167DD6" w:rsidRDefault="000C0BAF" w:rsidP="00514BE1">
            <w:r w:rsidRPr="00167DD6">
              <w:t>Date</w:t>
            </w:r>
          </w:p>
        </w:tc>
        <w:tc>
          <w:tcPr>
            <w:tcW w:w="2500" w:type="pct"/>
          </w:tcPr>
          <w:p w14:paraId="78FDA12B" w14:textId="77777777" w:rsidR="000C0BAF" w:rsidRPr="00167DD6" w:rsidRDefault="000C0BAF" w:rsidP="000D2608">
            <w:r w:rsidRPr="00167DD6">
              <w:t>Ngày</w:t>
            </w:r>
          </w:p>
        </w:tc>
      </w:tr>
      <w:tr w:rsidR="000C0BAF" w14:paraId="2F3D886B" w14:textId="77777777" w:rsidTr="00C76A1C">
        <w:tc>
          <w:tcPr>
            <w:tcW w:w="2500" w:type="pct"/>
          </w:tcPr>
          <w:p w14:paraId="4FE10B9C" w14:textId="77777777" w:rsidR="000C0BAF" w:rsidRPr="00167DD6" w:rsidRDefault="000C0BAF" w:rsidP="00514BE1">
            <w:r w:rsidRPr="00167DD6">
              <w:t>23 December 2025</w:t>
            </w:r>
          </w:p>
        </w:tc>
        <w:tc>
          <w:tcPr>
            <w:tcW w:w="2500" w:type="pct"/>
          </w:tcPr>
          <w:p w14:paraId="6E21CB03" w14:textId="77777777" w:rsidR="000C0BAF" w:rsidRPr="00167DD6" w:rsidRDefault="000C0BAF" w:rsidP="000D2608">
            <w:r w:rsidRPr="00167DD6">
              <w:t>Ngày 23 tháng 12 năm 2025</w:t>
            </w:r>
          </w:p>
        </w:tc>
      </w:tr>
      <w:tr w:rsidR="000C0BAF" w14:paraId="44E5ADE2" w14:textId="77777777" w:rsidTr="00C76A1C">
        <w:tc>
          <w:tcPr>
            <w:tcW w:w="2500" w:type="pct"/>
          </w:tcPr>
          <w:p w14:paraId="344E8418" w14:textId="77777777" w:rsidR="000C0BAF" w:rsidRPr="00167DD6" w:rsidRDefault="000C0BAF" w:rsidP="00514BE1">
            <w:r w:rsidRPr="00167DD6">
              <w:t>Approved by</w:t>
            </w:r>
          </w:p>
        </w:tc>
        <w:tc>
          <w:tcPr>
            <w:tcW w:w="2500" w:type="pct"/>
          </w:tcPr>
          <w:p w14:paraId="2B7A52ED" w14:textId="77777777" w:rsidR="000C0BAF" w:rsidRPr="00167DD6" w:rsidRDefault="000C0BAF" w:rsidP="000D2608">
            <w:r>
              <w:t>P</w:t>
            </w:r>
            <w:r w:rsidRPr="00167DD6">
              <w:t>hê duyệt bởi</w:t>
            </w:r>
          </w:p>
        </w:tc>
      </w:tr>
      <w:tr w:rsidR="000C0BAF" w14:paraId="67BA9481" w14:textId="77777777" w:rsidTr="00C76A1C">
        <w:tc>
          <w:tcPr>
            <w:tcW w:w="2500" w:type="pct"/>
          </w:tcPr>
          <w:p w14:paraId="3E856856" w14:textId="77777777" w:rsidR="000C0BAF" w:rsidRPr="00167DD6" w:rsidRDefault="000C0BAF" w:rsidP="00514BE1">
            <w:r w:rsidRPr="00167DD6">
              <w:t>Vice-Chancellor</w:t>
            </w:r>
          </w:p>
        </w:tc>
        <w:tc>
          <w:tcPr>
            <w:tcW w:w="2500" w:type="pct"/>
          </w:tcPr>
          <w:p w14:paraId="460B6A6A" w14:textId="77777777" w:rsidR="000C0BAF" w:rsidRPr="00167DD6" w:rsidRDefault="000C0BAF" w:rsidP="000D2608">
            <w:r>
              <w:t>Hiệu trưởng</w:t>
            </w:r>
          </w:p>
        </w:tc>
      </w:tr>
      <w:tr w:rsidR="000C0BAF" w14:paraId="6E61177C" w14:textId="77777777" w:rsidTr="00C76A1C">
        <w:tc>
          <w:tcPr>
            <w:tcW w:w="2500" w:type="pct"/>
          </w:tcPr>
          <w:p w14:paraId="51F6C5CC" w14:textId="77777777" w:rsidR="000C0BAF" w:rsidRPr="00167DD6" w:rsidRDefault="000C0BAF" w:rsidP="00514BE1">
            <w:r w:rsidRPr="00167DD6">
              <w:t>Change</w:t>
            </w:r>
          </w:p>
        </w:tc>
        <w:tc>
          <w:tcPr>
            <w:tcW w:w="2500" w:type="pct"/>
          </w:tcPr>
          <w:p w14:paraId="5629A4E3" w14:textId="77777777" w:rsidR="000C0BAF" w:rsidRPr="00167DD6" w:rsidRDefault="000C0BAF" w:rsidP="000D2608">
            <w:r w:rsidRPr="00167DD6">
              <w:t>Thay đổi</w:t>
            </w:r>
          </w:p>
        </w:tc>
      </w:tr>
      <w:tr w:rsidR="000C0BAF" w14:paraId="6359B45E" w14:textId="77777777" w:rsidTr="00C76A1C">
        <w:tc>
          <w:tcPr>
            <w:tcW w:w="2500" w:type="pct"/>
          </w:tcPr>
          <w:p w14:paraId="5746B86C" w14:textId="77777777" w:rsidR="000C0BAF" w:rsidRPr="00167DD6" w:rsidRDefault="000C0BAF" w:rsidP="00514BE1">
            <w:r w:rsidRPr="00167DD6">
              <w:t>Initial policy released</w:t>
            </w:r>
          </w:p>
        </w:tc>
        <w:tc>
          <w:tcPr>
            <w:tcW w:w="2500" w:type="pct"/>
          </w:tcPr>
          <w:p w14:paraId="636907F2" w14:textId="77777777" w:rsidR="000C0BAF" w:rsidRPr="00167DD6" w:rsidRDefault="000C0BAF" w:rsidP="000D2608">
            <w:r w:rsidRPr="00167DD6">
              <w:t>Chính sách ban đầu đ</w:t>
            </w:r>
            <w:r>
              <w:t>ã công bố</w:t>
            </w:r>
          </w:p>
        </w:tc>
      </w:tr>
      <w:tr w:rsidR="000C0BAF" w14:paraId="027E5ED2" w14:textId="77777777" w:rsidTr="00C76A1C">
        <w:tc>
          <w:tcPr>
            <w:tcW w:w="2500" w:type="pct"/>
          </w:tcPr>
          <w:p w14:paraId="4B40F07A" w14:textId="77777777" w:rsidR="000C0BAF" w:rsidRPr="00167DD6" w:rsidRDefault="000C0BAF" w:rsidP="00514BE1">
            <w:pPr>
              <w:rPr>
                <w:b/>
                <w:bCs/>
              </w:rPr>
            </w:pPr>
            <w:r w:rsidRPr="00167DD6">
              <w:rPr>
                <w:b/>
                <w:bCs/>
              </w:rPr>
              <w:t>Policy governance</w:t>
            </w:r>
          </w:p>
        </w:tc>
        <w:tc>
          <w:tcPr>
            <w:tcW w:w="2500" w:type="pct"/>
          </w:tcPr>
          <w:p w14:paraId="50F81ED6" w14:textId="77777777" w:rsidR="000C0BAF" w:rsidRPr="00167DD6" w:rsidRDefault="000C0BAF" w:rsidP="000D2608">
            <w:pPr>
              <w:rPr>
                <w:b/>
                <w:bCs/>
              </w:rPr>
            </w:pPr>
            <w:r w:rsidRPr="00167DD6">
              <w:rPr>
                <w:b/>
                <w:bCs/>
              </w:rPr>
              <w:t>Quản trị chính sách</w:t>
            </w:r>
          </w:p>
        </w:tc>
      </w:tr>
      <w:tr w:rsidR="000C0BAF" w14:paraId="33564A7C" w14:textId="77777777" w:rsidTr="00C76A1C">
        <w:tc>
          <w:tcPr>
            <w:tcW w:w="2500" w:type="pct"/>
          </w:tcPr>
          <w:p w14:paraId="3AB3EEAD" w14:textId="77777777" w:rsidR="000C0BAF" w:rsidRPr="00167DD6" w:rsidRDefault="000C0BAF" w:rsidP="00514BE1">
            <w:r w:rsidRPr="00167DD6">
              <w:t>Type</w:t>
            </w:r>
          </w:p>
        </w:tc>
        <w:tc>
          <w:tcPr>
            <w:tcW w:w="2500" w:type="pct"/>
          </w:tcPr>
          <w:p w14:paraId="22FC5BF0" w14:textId="77777777" w:rsidR="000C0BAF" w:rsidRPr="00167DD6" w:rsidRDefault="000C0BAF" w:rsidP="000D2608">
            <w:r>
              <w:t>Loại</w:t>
            </w:r>
          </w:p>
        </w:tc>
      </w:tr>
      <w:tr w:rsidR="000C0BAF" w14:paraId="30C689B2" w14:textId="77777777" w:rsidTr="00C76A1C">
        <w:tc>
          <w:tcPr>
            <w:tcW w:w="2500" w:type="pct"/>
          </w:tcPr>
          <w:p w14:paraId="7089407A" w14:textId="77777777" w:rsidR="000C0BAF" w:rsidRPr="00167DD6" w:rsidRDefault="000C0BAF" w:rsidP="00514BE1">
            <w:r w:rsidRPr="00167DD6">
              <w:t>Document</w:t>
            </w:r>
          </w:p>
        </w:tc>
        <w:tc>
          <w:tcPr>
            <w:tcW w:w="2500" w:type="pct"/>
          </w:tcPr>
          <w:p w14:paraId="6B8DB708" w14:textId="77777777" w:rsidR="000C0BAF" w:rsidRPr="00167DD6" w:rsidRDefault="000C0BAF" w:rsidP="000D2608">
            <w:r w:rsidRPr="00167DD6">
              <w:t>Tài liệu</w:t>
            </w:r>
          </w:p>
        </w:tc>
      </w:tr>
      <w:tr w:rsidR="000C0BAF" w14:paraId="335B0737" w14:textId="77777777" w:rsidTr="00C76A1C">
        <w:tc>
          <w:tcPr>
            <w:tcW w:w="2500" w:type="pct"/>
          </w:tcPr>
          <w:p w14:paraId="78CDA9C2" w14:textId="77777777" w:rsidR="000C0BAF" w:rsidRPr="00003088" w:rsidRDefault="000C0BAF" w:rsidP="00514BE1">
            <w:pPr>
              <w:rPr>
                <w:b/>
                <w:bCs/>
              </w:rPr>
            </w:pPr>
            <w:r w:rsidRPr="00003088">
              <w:rPr>
                <w:b/>
                <w:bCs/>
              </w:rPr>
              <w:t>University Regulations</w:t>
            </w:r>
          </w:p>
        </w:tc>
        <w:tc>
          <w:tcPr>
            <w:tcW w:w="2500" w:type="pct"/>
          </w:tcPr>
          <w:p w14:paraId="34EA5F95" w14:textId="77777777" w:rsidR="000C0BAF" w:rsidRPr="00003088" w:rsidRDefault="000C0BAF" w:rsidP="000D2608">
            <w:pPr>
              <w:rPr>
                <w:b/>
                <w:bCs/>
              </w:rPr>
            </w:pPr>
            <w:r w:rsidRPr="00003088">
              <w:rPr>
                <w:b/>
                <w:bCs/>
              </w:rPr>
              <w:t xml:space="preserve">Quy định </w:t>
            </w:r>
            <w:r>
              <w:rPr>
                <w:b/>
                <w:bCs/>
              </w:rPr>
              <w:t>trường Đại họ</w:t>
            </w:r>
            <w:r w:rsidRPr="00003088">
              <w:rPr>
                <w:b/>
                <w:bCs/>
              </w:rPr>
              <w:t>c</w:t>
            </w:r>
          </w:p>
        </w:tc>
      </w:tr>
      <w:tr w:rsidR="000C0BAF" w14:paraId="1C5A7B70" w14:textId="77777777" w:rsidTr="00C76A1C">
        <w:tc>
          <w:tcPr>
            <w:tcW w:w="2500" w:type="pct"/>
          </w:tcPr>
          <w:p w14:paraId="4432E7B3" w14:textId="77777777" w:rsidR="000C0BAF" w:rsidRPr="00167DD6" w:rsidRDefault="000C0BAF" w:rsidP="00514BE1">
            <w:r w:rsidRPr="0090487B">
              <w:t>Student General Misconduct Regulations 2012</w:t>
            </w:r>
          </w:p>
        </w:tc>
        <w:tc>
          <w:tcPr>
            <w:tcW w:w="2500" w:type="pct"/>
          </w:tcPr>
          <w:p w14:paraId="2732EDD2" w14:textId="77777777" w:rsidR="000C0BAF" w:rsidRPr="00167DD6" w:rsidRDefault="000C0BAF" w:rsidP="000D2608">
            <w:r w:rsidRPr="0090487B">
              <w:t xml:space="preserve">Quy định </w:t>
            </w:r>
            <w:r>
              <w:t>Tổng quát</w:t>
            </w:r>
            <w:r w:rsidRPr="0090487B">
              <w:t xml:space="preserve"> về</w:t>
            </w:r>
            <w:r>
              <w:t xml:space="preserve"> H</w:t>
            </w:r>
            <w:r w:rsidRPr="0090487B">
              <w:t xml:space="preserve">ành vi </w:t>
            </w:r>
            <w:r>
              <w:t>S</w:t>
            </w:r>
            <w:r w:rsidRPr="0090487B">
              <w:t xml:space="preserve">ai trái của </w:t>
            </w:r>
            <w:r>
              <w:t>S</w:t>
            </w:r>
            <w:r w:rsidRPr="0090487B">
              <w:t>inh viên 2012</w:t>
            </w:r>
          </w:p>
        </w:tc>
      </w:tr>
      <w:tr w:rsidR="000C0BAF" w14:paraId="22994E27" w14:textId="77777777" w:rsidTr="00C76A1C">
        <w:tc>
          <w:tcPr>
            <w:tcW w:w="2500" w:type="pct"/>
          </w:tcPr>
          <w:p w14:paraId="423DB3E5" w14:textId="77777777" w:rsidR="000C0BAF" w:rsidRPr="00003088" w:rsidRDefault="000C0BAF" w:rsidP="00514BE1">
            <w:pPr>
              <w:rPr>
                <w:b/>
                <w:bCs/>
              </w:rPr>
            </w:pPr>
            <w:r w:rsidRPr="00003088">
              <w:rPr>
                <w:b/>
                <w:bCs/>
              </w:rPr>
              <w:t>Supporting procedures</w:t>
            </w:r>
            <w:r w:rsidRPr="00003088">
              <w:rPr>
                <w:rFonts w:ascii="Arial" w:hAnsi="Arial" w:cs="Arial"/>
                <w:b/>
                <w:bCs/>
              </w:rPr>
              <w:t> </w:t>
            </w:r>
          </w:p>
        </w:tc>
        <w:tc>
          <w:tcPr>
            <w:tcW w:w="2500" w:type="pct"/>
          </w:tcPr>
          <w:p w14:paraId="07D9DB2B" w14:textId="77777777" w:rsidR="000C0BAF" w:rsidRPr="00003088" w:rsidRDefault="000C0BAF" w:rsidP="000D2608">
            <w:pPr>
              <w:rPr>
                <w:b/>
                <w:bCs/>
              </w:rPr>
            </w:pPr>
            <w:r w:rsidRPr="00003088">
              <w:rPr>
                <w:b/>
                <w:bCs/>
              </w:rPr>
              <w:t>Các thủ tục hỗ trợ</w:t>
            </w:r>
            <w:r w:rsidRPr="00003088">
              <w:rPr>
                <w:rFonts w:ascii="Arial" w:hAnsi="Arial" w:cs="Arial"/>
                <w:b/>
                <w:bCs/>
              </w:rPr>
              <w:t> </w:t>
            </w:r>
          </w:p>
        </w:tc>
      </w:tr>
      <w:tr w:rsidR="000C0BAF" w14:paraId="1D197A33" w14:textId="77777777" w:rsidTr="00C76A1C">
        <w:tc>
          <w:tcPr>
            <w:tcW w:w="2500" w:type="pct"/>
          </w:tcPr>
          <w:p w14:paraId="3AC42256" w14:textId="77777777" w:rsidR="000C0BAF" w:rsidRPr="00167DD6" w:rsidRDefault="000C0BAF" w:rsidP="00514BE1">
            <w:r w:rsidRPr="0090487B">
              <w:t>Prevention of and Response to Gender-based Violence Procedure (Staff and Students)</w:t>
            </w:r>
          </w:p>
        </w:tc>
        <w:tc>
          <w:tcPr>
            <w:tcW w:w="2500" w:type="pct"/>
          </w:tcPr>
          <w:p w14:paraId="417A7A25" w14:textId="77777777" w:rsidR="000C0BAF" w:rsidRPr="00167DD6" w:rsidRDefault="000C0BAF" w:rsidP="000D2608">
            <w:r w:rsidRPr="0090487B">
              <w:t xml:space="preserve">Quy trình </w:t>
            </w:r>
            <w:r>
              <w:t>ngăn ngừa</w:t>
            </w:r>
            <w:r w:rsidRPr="0090487B">
              <w:t xml:space="preserve"> và ứng phó với </w:t>
            </w:r>
            <w:r>
              <w:t>Bạo lực Giới tính</w:t>
            </w:r>
            <w:r w:rsidRPr="0090487B">
              <w:t xml:space="preserve"> </w:t>
            </w:r>
            <w:r>
              <w:t>(Nhân viên và sinh viên)</w:t>
            </w:r>
          </w:p>
        </w:tc>
      </w:tr>
      <w:tr w:rsidR="000C0BAF" w14:paraId="1F93751E" w14:textId="77777777" w:rsidTr="00C76A1C">
        <w:tc>
          <w:tcPr>
            <w:tcW w:w="2500" w:type="pct"/>
          </w:tcPr>
          <w:p w14:paraId="4DF44E3E" w14:textId="77777777" w:rsidR="000C0BAF" w:rsidRPr="00003088" w:rsidRDefault="000C0BAF" w:rsidP="00514BE1">
            <w:pPr>
              <w:rPr>
                <w:b/>
                <w:bCs/>
              </w:rPr>
            </w:pPr>
            <w:r w:rsidRPr="00003088">
              <w:rPr>
                <w:b/>
                <w:bCs/>
              </w:rPr>
              <w:t>Supporting documents</w:t>
            </w:r>
            <w:r w:rsidRPr="00003088">
              <w:rPr>
                <w:rFonts w:ascii="Arial" w:hAnsi="Arial" w:cs="Arial"/>
                <w:b/>
                <w:bCs/>
              </w:rPr>
              <w:t> </w:t>
            </w:r>
          </w:p>
          <w:p w14:paraId="5997CC1D" w14:textId="77777777" w:rsidR="000C0BAF" w:rsidRPr="00003088" w:rsidRDefault="000C0BAF" w:rsidP="00514BE1">
            <w:pPr>
              <w:rPr>
                <w:b/>
                <w:bCs/>
              </w:rPr>
            </w:pPr>
          </w:p>
          <w:p w14:paraId="1CB5B9C1" w14:textId="77777777" w:rsidR="000C0BAF" w:rsidRPr="00003088" w:rsidRDefault="000C0BAF" w:rsidP="00514BE1">
            <w:pPr>
              <w:rPr>
                <w:b/>
                <w:bCs/>
              </w:rPr>
            </w:pPr>
            <w:r w:rsidRPr="00003088">
              <w:rPr>
                <w:b/>
                <w:bCs/>
              </w:rPr>
              <w:t>(guidelines, manuals frameworks, plans, standards)</w:t>
            </w:r>
            <w:r w:rsidRPr="00003088">
              <w:rPr>
                <w:rFonts w:ascii="Arial" w:hAnsi="Arial" w:cs="Arial"/>
                <w:b/>
                <w:bCs/>
              </w:rPr>
              <w:t> </w:t>
            </w:r>
          </w:p>
        </w:tc>
        <w:tc>
          <w:tcPr>
            <w:tcW w:w="2500" w:type="pct"/>
          </w:tcPr>
          <w:p w14:paraId="769578BC" w14:textId="77777777" w:rsidR="000C0BAF" w:rsidRPr="00003088" w:rsidRDefault="000C0BAF" w:rsidP="000D2608">
            <w:pPr>
              <w:rPr>
                <w:b/>
                <w:bCs/>
              </w:rPr>
            </w:pPr>
            <w:r w:rsidRPr="00003088">
              <w:rPr>
                <w:b/>
                <w:bCs/>
              </w:rPr>
              <w:t>Tài liệu hỗ trợ</w:t>
            </w:r>
            <w:r w:rsidRPr="00003088">
              <w:rPr>
                <w:rFonts w:ascii="Arial" w:hAnsi="Arial" w:cs="Arial"/>
                <w:b/>
                <w:bCs/>
              </w:rPr>
              <w:t> </w:t>
            </w:r>
          </w:p>
          <w:p w14:paraId="110FFD37" w14:textId="77777777" w:rsidR="000C0BAF" w:rsidRPr="00003088" w:rsidRDefault="000C0BAF" w:rsidP="000D2608">
            <w:pPr>
              <w:rPr>
                <w:b/>
                <w:bCs/>
              </w:rPr>
            </w:pPr>
          </w:p>
          <w:p w14:paraId="1BBEF492" w14:textId="77777777" w:rsidR="000C0BAF" w:rsidRPr="00003088" w:rsidRDefault="000C0BAF" w:rsidP="000D2608">
            <w:pPr>
              <w:rPr>
                <w:b/>
                <w:bCs/>
              </w:rPr>
            </w:pPr>
            <w:r w:rsidRPr="00003088">
              <w:rPr>
                <w:b/>
                <w:bCs/>
              </w:rPr>
              <w:t>(</w:t>
            </w:r>
            <w:r>
              <w:rPr>
                <w:b/>
                <w:bCs/>
              </w:rPr>
              <w:t xml:space="preserve">tài liệu </w:t>
            </w:r>
            <w:r w:rsidRPr="00003088">
              <w:rPr>
                <w:b/>
                <w:bCs/>
              </w:rPr>
              <w:t>hướng dẫn, cẩm nang, khuôn khổ, kế hoạch, tiêu chuẩn)</w:t>
            </w:r>
            <w:r w:rsidRPr="00003088">
              <w:rPr>
                <w:rFonts w:ascii="Arial" w:hAnsi="Arial" w:cs="Arial"/>
                <w:b/>
                <w:bCs/>
              </w:rPr>
              <w:t> </w:t>
            </w:r>
          </w:p>
        </w:tc>
      </w:tr>
      <w:tr w:rsidR="000C0BAF" w14:paraId="46DDC7EC" w14:textId="77777777" w:rsidTr="00C76A1C">
        <w:tc>
          <w:tcPr>
            <w:tcW w:w="2500" w:type="pct"/>
          </w:tcPr>
          <w:p w14:paraId="53F442DE" w14:textId="77777777" w:rsidR="000C0BAF" w:rsidRPr="00003088" w:rsidRDefault="000C0BAF" w:rsidP="00003088">
            <w:r>
              <w:t>Safer Community</w:t>
            </w:r>
          </w:p>
        </w:tc>
        <w:tc>
          <w:tcPr>
            <w:tcW w:w="2500" w:type="pct"/>
          </w:tcPr>
          <w:p w14:paraId="3755BC87" w14:textId="77777777" w:rsidR="000C0BAF" w:rsidRPr="00003088" w:rsidRDefault="000C0BAF" w:rsidP="000D2608">
            <w:r>
              <w:t>Safer Community (Cộng đồng An toàn Hơn)</w:t>
            </w:r>
          </w:p>
        </w:tc>
      </w:tr>
      <w:tr w:rsidR="000C0BAF" w14:paraId="2A10E470" w14:textId="77777777" w:rsidTr="00C76A1C">
        <w:tc>
          <w:tcPr>
            <w:tcW w:w="2500" w:type="pct"/>
          </w:tcPr>
          <w:p w14:paraId="4F3ADB1E" w14:textId="77777777" w:rsidR="000C0BAF" w:rsidRPr="00003088" w:rsidRDefault="000C0BAF" w:rsidP="00003088">
            <w:r>
              <w:t>Cyber Safety student factsheet</w:t>
            </w:r>
          </w:p>
        </w:tc>
        <w:tc>
          <w:tcPr>
            <w:tcW w:w="2500" w:type="pct"/>
          </w:tcPr>
          <w:p w14:paraId="43A06BB5" w14:textId="77777777" w:rsidR="000C0BAF" w:rsidRPr="00003088" w:rsidRDefault="000C0BAF" w:rsidP="000D2608">
            <w:r>
              <w:t>Tờ thông tin dành cho sinh viên về an ninh mạng</w:t>
            </w:r>
          </w:p>
        </w:tc>
      </w:tr>
      <w:tr w:rsidR="000C0BAF" w14:paraId="57FDC6A3" w14:textId="77777777" w:rsidTr="00C76A1C">
        <w:tc>
          <w:tcPr>
            <w:tcW w:w="2500" w:type="pct"/>
          </w:tcPr>
          <w:p w14:paraId="2632F8EF" w14:textId="77777777" w:rsidR="000C0BAF" w:rsidRPr="00003088" w:rsidRDefault="000C0BAF" w:rsidP="00003088">
            <w:r>
              <w:t xml:space="preserve">Security </w:t>
            </w:r>
          </w:p>
        </w:tc>
        <w:tc>
          <w:tcPr>
            <w:tcW w:w="2500" w:type="pct"/>
          </w:tcPr>
          <w:p w14:paraId="1DE5567D" w14:textId="77777777" w:rsidR="000C0BAF" w:rsidRPr="00003088" w:rsidRDefault="000C0BAF" w:rsidP="000D2608">
            <w:r>
              <w:t>An ninh</w:t>
            </w:r>
          </w:p>
        </w:tc>
      </w:tr>
      <w:tr w:rsidR="000C0BAF" w14:paraId="7D928C78" w14:textId="77777777" w:rsidTr="00C76A1C">
        <w:tc>
          <w:tcPr>
            <w:tcW w:w="2500" w:type="pct"/>
          </w:tcPr>
          <w:p w14:paraId="3B226475" w14:textId="77777777" w:rsidR="000C0BAF" w:rsidRPr="00167DD6" w:rsidRDefault="000C0BAF" w:rsidP="00003088">
            <w:r>
              <w:t>Swinburne Health service</w:t>
            </w:r>
          </w:p>
        </w:tc>
        <w:tc>
          <w:tcPr>
            <w:tcW w:w="2500" w:type="pct"/>
          </w:tcPr>
          <w:p w14:paraId="7E4FC6CB" w14:textId="77777777" w:rsidR="000C0BAF" w:rsidRPr="00167DD6" w:rsidRDefault="000C0BAF" w:rsidP="000D2608">
            <w:r>
              <w:t>Dịch vụ Y tế Swinburne</w:t>
            </w:r>
          </w:p>
        </w:tc>
      </w:tr>
      <w:tr w:rsidR="000C0BAF" w14:paraId="08353C3A" w14:textId="77777777" w:rsidTr="00C76A1C">
        <w:tc>
          <w:tcPr>
            <w:tcW w:w="2500" w:type="pct"/>
          </w:tcPr>
          <w:p w14:paraId="7045155F" w14:textId="77777777" w:rsidR="000C0BAF" w:rsidRPr="00167DD6" w:rsidRDefault="000C0BAF" w:rsidP="00003088">
            <w:r>
              <w:t>Swinburne Student Charter</w:t>
            </w:r>
          </w:p>
        </w:tc>
        <w:tc>
          <w:tcPr>
            <w:tcW w:w="2500" w:type="pct"/>
          </w:tcPr>
          <w:p w14:paraId="3A2E64F7" w14:textId="77777777" w:rsidR="000C0BAF" w:rsidRPr="00167DD6" w:rsidRDefault="000C0BAF" w:rsidP="000D2608">
            <w:r>
              <w:t>Bản Tôn chỉ Sinh viên Swinburne</w:t>
            </w:r>
          </w:p>
        </w:tc>
      </w:tr>
      <w:tr w:rsidR="000C0BAF" w14:paraId="74EEDF80" w14:textId="77777777" w:rsidTr="00C76A1C">
        <w:tc>
          <w:tcPr>
            <w:tcW w:w="2500" w:type="pct"/>
          </w:tcPr>
          <w:p w14:paraId="6B2C443E" w14:textId="77777777" w:rsidR="000C0BAF" w:rsidRPr="00167DD6" w:rsidRDefault="000C0BAF" w:rsidP="00003088">
            <w:r>
              <w:t>Complaints and Feedback</w:t>
            </w:r>
          </w:p>
        </w:tc>
        <w:tc>
          <w:tcPr>
            <w:tcW w:w="2500" w:type="pct"/>
          </w:tcPr>
          <w:p w14:paraId="4026AFC5" w14:textId="77777777" w:rsidR="000C0BAF" w:rsidRPr="00167DD6" w:rsidRDefault="000C0BAF" w:rsidP="000D2608">
            <w:r>
              <w:t>Khiếu nại và Ý kiến phản hồi</w:t>
            </w:r>
          </w:p>
        </w:tc>
      </w:tr>
      <w:tr w:rsidR="000C0BAF" w14:paraId="400EFE33" w14:textId="77777777" w:rsidTr="00C76A1C">
        <w:tc>
          <w:tcPr>
            <w:tcW w:w="2500" w:type="pct"/>
          </w:tcPr>
          <w:p w14:paraId="3AF96374" w14:textId="77777777" w:rsidR="000C0BAF" w:rsidRPr="00167DD6" w:rsidRDefault="000C0BAF" w:rsidP="00003088">
            <w:r>
              <w:t>Complaints Management Guidelines</w:t>
            </w:r>
          </w:p>
        </w:tc>
        <w:tc>
          <w:tcPr>
            <w:tcW w:w="2500" w:type="pct"/>
          </w:tcPr>
          <w:p w14:paraId="7BB8DEE5" w14:textId="77777777" w:rsidR="000C0BAF" w:rsidRPr="00167DD6" w:rsidRDefault="000C0BAF" w:rsidP="000D2608">
            <w:r>
              <w:t>Hướng dẫn Quản lý Khiếu nại</w:t>
            </w:r>
          </w:p>
        </w:tc>
      </w:tr>
      <w:tr w:rsidR="000C0BAF" w14:paraId="5667E759" w14:textId="77777777" w:rsidTr="00C76A1C">
        <w:tc>
          <w:tcPr>
            <w:tcW w:w="2500" w:type="pct"/>
          </w:tcPr>
          <w:p w14:paraId="7FC10645" w14:textId="77777777" w:rsidR="000C0BAF" w:rsidRPr="00167DD6" w:rsidRDefault="000C0BAF" w:rsidP="00003088">
            <w:r>
              <w:t>People, Culture &amp; Integrity Policy</w:t>
            </w:r>
          </w:p>
        </w:tc>
        <w:tc>
          <w:tcPr>
            <w:tcW w:w="2500" w:type="pct"/>
          </w:tcPr>
          <w:p w14:paraId="320D7579" w14:textId="77777777" w:rsidR="000C0BAF" w:rsidRPr="00167DD6" w:rsidRDefault="000C0BAF" w:rsidP="000D2608">
            <w:r>
              <w:t>Chính sách Nhân sự, Văn hóa &amp; Liêm chính</w:t>
            </w:r>
          </w:p>
        </w:tc>
      </w:tr>
      <w:tr w:rsidR="000C0BAF" w14:paraId="3A3A917F" w14:textId="77777777" w:rsidTr="00C76A1C">
        <w:tc>
          <w:tcPr>
            <w:tcW w:w="2500" w:type="pct"/>
          </w:tcPr>
          <w:p w14:paraId="7B02E255" w14:textId="77777777" w:rsidR="000C0BAF" w:rsidRPr="00167DD6" w:rsidRDefault="000C0BAF" w:rsidP="00003088">
            <w:r>
              <w:t>Support for Students Policy</w:t>
            </w:r>
          </w:p>
        </w:tc>
        <w:tc>
          <w:tcPr>
            <w:tcW w:w="2500" w:type="pct"/>
          </w:tcPr>
          <w:p w14:paraId="77540502" w14:textId="77777777" w:rsidR="000C0BAF" w:rsidRPr="00167DD6" w:rsidRDefault="000C0BAF" w:rsidP="000D2608">
            <w:r>
              <w:t>Chính sách Hỗ trợ Dành cho Sinh viên</w:t>
            </w:r>
          </w:p>
        </w:tc>
      </w:tr>
      <w:tr w:rsidR="000C0BAF" w14:paraId="7714F759" w14:textId="77777777" w:rsidTr="00C76A1C">
        <w:tc>
          <w:tcPr>
            <w:tcW w:w="2500" w:type="pct"/>
          </w:tcPr>
          <w:p w14:paraId="3FE409F5" w14:textId="77777777" w:rsidR="000C0BAF" w:rsidRPr="00167DD6" w:rsidRDefault="000C0BAF" w:rsidP="00003088">
            <w:r>
              <w:t>Child Safety webpage</w:t>
            </w:r>
          </w:p>
        </w:tc>
        <w:tc>
          <w:tcPr>
            <w:tcW w:w="2500" w:type="pct"/>
          </w:tcPr>
          <w:p w14:paraId="2061DFCA" w14:textId="77777777" w:rsidR="000C0BAF" w:rsidRPr="00167DD6" w:rsidRDefault="000C0BAF" w:rsidP="000D2608">
            <w:r>
              <w:t>Trang web An toàn Trẻ em</w:t>
            </w:r>
          </w:p>
        </w:tc>
      </w:tr>
      <w:tr w:rsidR="000C0BAF" w14:paraId="7D1C022C" w14:textId="77777777" w:rsidTr="00C76A1C">
        <w:tc>
          <w:tcPr>
            <w:tcW w:w="2500" w:type="pct"/>
          </w:tcPr>
          <w:p w14:paraId="646A8F86" w14:textId="77777777" w:rsidR="000C0BAF" w:rsidRPr="00167DD6" w:rsidRDefault="000C0BAF" w:rsidP="00003088">
            <w:r>
              <w:t>Child Safety intranet (staff only)</w:t>
            </w:r>
          </w:p>
        </w:tc>
        <w:tc>
          <w:tcPr>
            <w:tcW w:w="2500" w:type="pct"/>
          </w:tcPr>
          <w:p w14:paraId="59D6FB02" w14:textId="77777777" w:rsidR="000C0BAF" w:rsidRPr="00167DD6" w:rsidRDefault="000C0BAF" w:rsidP="000D2608">
            <w:r>
              <w:t>Mạng nội bộ về An toàn Trẻ em (chỉ dành cho nhân viên)</w:t>
            </w:r>
          </w:p>
        </w:tc>
      </w:tr>
      <w:tr w:rsidR="000C0BAF" w14:paraId="40160022" w14:textId="77777777" w:rsidTr="00C76A1C">
        <w:tc>
          <w:tcPr>
            <w:tcW w:w="2500" w:type="pct"/>
          </w:tcPr>
          <w:p w14:paraId="48F5CE0B" w14:textId="77777777" w:rsidR="000C0BAF" w:rsidRPr="00167DD6" w:rsidRDefault="000C0BAF" w:rsidP="00003088">
            <w:r>
              <w:t>People &amp; Culture Manual (staff only)</w:t>
            </w:r>
          </w:p>
        </w:tc>
        <w:tc>
          <w:tcPr>
            <w:tcW w:w="2500" w:type="pct"/>
          </w:tcPr>
          <w:p w14:paraId="7B4174E6" w14:textId="77777777" w:rsidR="000C0BAF" w:rsidRPr="00167DD6" w:rsidRDefault="000C0BAF" w:rsidP="000D2608">
            <w:r>
              <w:t>Cẩm nang Nhân sự &amp; Văn hóa (chỉ dành cho nhân viên)</w:t>
            </w:r>
          </w:p>
        </w:tc>
      </w:tr>
      <w:tr w:rsidR="000C0BAF" w14:paraId="4D802684" w14:textId="77777777" w:rsidTr="00C76A1C">
        <w:tc>
          <w:tcPr>
            <w:tcW w:w="2500" w:type="pct"/>
          </w:tcPr>
          <w:p w14:paraId="1A84E495" w14:textId="77777777" w:rsidR="000C0BAF" w:rsidRPr="00167DD6" w:rsidRDefault="000C0BAF" w:rsidP="00003088">
            <w:r>
              <w:t>Safer Community wiki (staff only)</w:t>
            </w:r>
          </w:p>
        </w:tc>
        <w:tc>
          <w:tcPr>
            <w:tcW w:w="2500" w:type="pct"/>
          </w:tcPr>
          <w:p w14:paraId="50BEAD3A" w14:textId="77777777" w:rsidR="000C0BAF" w:rsidRPr="00167DD6" w:rsidRDefault="000C0BAF" w:rsidP="000D2608">
            <w:r>
              <w:t>Wiki Cộng đồng An toàn Hơn (chỉ dành cho nhân viên)</w:t>
            </w:r>
          </w:p>
        </w:tc>
      </w:tr>
      <w:tr w:rsidR="000C0BAF" w14:paraId="12E87720" w14:textId="77777777" w:rsidTr="00C76A1C">
        <w:tc>
          <w:tcPr>
            <w:tcW w:w="2500" w:type="pct"/>
          </w:tcPr>
          <w:p w14:paraId="39B9200E" w14:textId="77777777" w:rsidR="000C0BAF" w:rsidRPr="00167DD6" w:rsidRDefault="000C0BAF" w:rsidP="00003088">
            <w:r>
              <w:t>Health &amp; Wellbeing Support (staff only)</w:t>
            </w:r>
          </w:p>
        </w:tc>
        <w:tc>
          <w:tcPr>
            <w:tcW w:w="2500" w:type="pct"/>
          </w:tcPr>
          <w:p w14:paraId="2D56167B" w14:textId="77777777" w:rsidR="000C0BAF" w:rsidRPr="00167DD6" w:rsidRDefault="000C0BAF" w:rsidP="000D2608">
            <w:r>
              <w:t>Hỗ trợ về Sức khỏe và An sinh (chỉ dành cho nhân viên)</w:t>
            </w:r>
          </w:p>
        </w:tc>
      </w:tr>
      <w:tr w:rsidR="000C0BAF" w14:paraId="71F05C7D" w14:textId="77777777" w:rsidTr="00C76A1C">
        <w:tc>
          <w:tcPr>
            <w:tcW w:w="2500" w:type="pct"/>
          </w:tcPr>
          <w:p w14:paraId="6F05D47C" w14:textId="77777777" w:rsidR="000C0BAF" w:rsidRPr="00167DD6" w:rsidRDefault="000C0BAF" w:rsidP="00003088">
            <w:r>
              <w:t>P&amp;C Business Partner (staff only)</w:t>
            </w:r>
          </w:p>
        </w:tc>
        <w:tc>
          <w:tcPr>
            <w:tcW w:w="2500" w:type="pct"/>
          </w:tcPr>
          <w:p w14:paraId="19FD9A9B" w14:textId="77777777" w:rsidR="000C0BAF" w:rsidRPr="00167DD6" w:rsidRDefault="000C0BAF" w:rsidP="000D2608">
            <w:r>
              <w:t>Đối tác Sự vụ P&amp;C (chỉ dành cho nhân viên)</w:t>
            </w:r>
          </w:p>
        </w:tc>
      </w:tr>
      <w:tr w:rsidR="000C0BAF" w14:paraId="7EA6A316" w14:textId="77777777" w:rsidTr="00C76A1C">
        <w:tc>
          <w:tcPr>
            <w:tcW w:w="2500" w:type="pct"/>
          </w:tcPr>
          <w:p w14:paraId="17559506" w14:textId="77777777" w:rsidR="000C0BAF" w:rsidRPr="00167DD6" w:rsidRDefault="000C0BAF" w:rsidP="00003088">
            <w:r>
              <w:t>Domestic and Family Violence support (staff only)</w:t>
            </w:r>
          </w:p>
        </w:tc>
        <w:tc>
          <w:tcPr>
            <w:tcW w:w="2500" w:type="pct"/>
          </w:tcPr>
          <w:p w14:paraId="2D60B7A6" w14:textId="77777777" w:rsidR="000C0BAF" w:rsidRPr="00167DD6" w:rsidRDefault="000C0BAF" w:rsidP="000D2608">
            <w:r>
              <w:t>Hỗ trợ nạn nhân Bạo lực Gia đình và trong Nhà (chỉ dành cho nhân viên)</w:t>
            </w:r>
          </w:p>
        </w:tc>
      </w:tr>
      <w:tr w:rsidR="000C0BAF" w14:paraId="6E7E58A5" w14:textId="77777777" w:rsidTr="00C76A1C">
        <w:tc>
          <w:tcPr>
            <w:tcW w:w="2500" w:type="pct"/>
          </w:tcPr>
          <w:p w14:paraId="39C93111" w14:textId="77777777" w:rsidR="000C0BAF" w:rsidRDefault="000C0BAF" w:rsidP="00003088">
            <w:r w:rsidRPr="00003088">
              <w:rPr>
                <w:b/>
                <w:bCs/>
              </w:rPr>
              <w:t>Associated policies</w:t>
            </w:r>
            <w:r w:rsidRPr="00003088">
              <w:rPr>
                <w:rFonts w:ascii="Arial" w:hAnsi="Arial" w:cs="Arial"/>
                <w:b/>
                <w:bCs/>
              </w:rPr>
              <w:t> </w:t>
            </w:r>
          </w:p>
        </w:tc>
        <w:tc>
          <w:tcPr>
            <w:tcW w:w="2500" w:type="pct"/>
          </w:tcPr>
          <w:p w14:paraId="04262353" w14:textId="77777777" w:rsidR="000C0BAF" w:rsidRDefault="000C0BAF" w:rsidP="000D2608">
            <w:r w:rsidRPr="00003088">
              <w:rPr>
                <w:b/>
                <w:bCs/>
              </w:rPr>
              <w:t>Các chính sách liên quan</w:t>
            </w:r>
            <w:r w:rsidRPr="00003088">
              <w:rPr>
                <w:rFonts w:ascii="Arial" w:hAnsi="Arial" w:cs="Arial"/>
                <w:b/>
                <w:bCs/>
              </w:rPr>
              <w:t> </w:t>
            </w:r>
          </w:p>
        </w:tc>
      </w:tr>
      <w:tr w:rsidR="000C0BAF" w14:paraId="00984293" w14:textId="77777777" w:rsidTr="00C76A1C">
        <w:tc>
          <w:tcPr>
            <w:tcW w:w="2500" w:type="pct"/>
          </w:tcPr>
          <w:p w14:paraId="629D792A" w14:textId="77777777" w:rsidR="000C0BAF" w:rsidRPr="00003088" w:rsidRDefault="000C0BAF" w:rsidP="00003088">
            <w:pPr>
              <w:rPr>
                <w:b/>
                <w:bCs/>
              </w:rPr>
            </w:pPr>
            <w:r w:rsidRPr="0090487B">
              <w:t>N/A</w:t>
            </w:r>
          </w:p>
        </w:tc>
        <w:tc>
          <w:tcPr>
            <w:tcW w:w="2500" w:type="pct"/>
          </w:tcPr>
          <w:p w14:paraId="14B62C3D" w14:textId="77777777" w:rsidR="000C0BAF" w:rsidRPr="00003088" w:rsidRDefault="000C0BAF" w:rsidP="000D2608">
            <w:pPr>
              <w:rPr>
                <w:b/>
                <w:bCs/>
              </w:rPr>
            </w:pPr>
            <w:r w:rsidRPr="0090487B">
              <w:t xml:space="preserve">Không </w:t>
            </w:r>
            <w:r>
              <w:t>liên quan</w:t>
            </w:r>
          </w:p>
        </w:tc>
      </w:tr>
      <w:tr w:rsidR="000C0BAF" w14:paraId="1F4C12DB" w14:textId="77777777" w:rsidTr="00C76A1C">
        <w:tc>
          <w:tcPr>
            <w:tcW w:w="2500" w:type="pct"/>
          </w:tcPr>
          <w:p w14:paraId="44AF67BC" w14:textId="77777777" w:rsidR="000C0BAF" w:rsidRPr="00003088" w:rsidRDefault="000C0BAF" w:rsidP="00003088">
            <w:pPr>
              <w:rPr>
                <w:b/>
                <w:bCs/>
              </w:rPr>
            </w:pPr>
            <w:r w:rsidRPr="00003088">
              <w:rPr>
                <w:b/>
                <w:bCs/>
              </w:rPr>
              <w:t>Related legislation</w:t>
            </w:r>
            <w:r w:rsidRPr="00003088">
              <w:rPr>
                <w:rFonts w:ascii="Arial" w:hAnsi="Arial" w:cs="Arial"/>
                <w:b/>
                <w:bCs/>
              </w:rPr>
              <w:t> </w:t>
            </w:r>
            <w:r w:rsidRPr="00003088">
              <w:rPr>
                <w:b/>
                <w:bCs/>
              </w:rPr>
              <w:t>and associated documents</w:t>
            </w:r>
          </w:p>
        </w:tc>
        <w:tc>
          <w:tcPr>
            <w:tcW w:w="2500" w:type="pct"/>
          </w:tcPr>
          <w:p w14:paraId="3FD6728F" w14:textId="77777777" w:rsidR="000C0BAF" w:rsidRPr="00003088" w:rsidRDefault="000C0BAF" w:rsidP="000D2608">
            <w:pPr>
              <w:rPr>
                <w:b/>
                <w:bCs/>
              </w:rPr>
            </w:pPr>
            <w:r w:rsidRPr="00003088">
              <w:rPr>
                <w:b/>
                <w:bCs/>
              </w:rPr>
              <w:t>Luật liên quan</w:t>
            </w:r>
            <w:r w:rsidRPr="00003088">
              <w:rPr>
                <w:rFonts w:ascii="Arial" w:hAnsi="Arial" w:cs="Arial"/>
                <w:b/>
                <w:bCs/>
              </w:rPr>
              <w:t> </w:t>
            </w:r>
            <w:r w:rsidRPr="00003088">
              <w:rPr>
                <w:b/>
                <w:bCs/>
              </w:rPr>
              <w:t>và các tài liệu liên quan</w:t>
            </w:r>
          </w:p>
        </w:tc>
      </w:tr>
      <w:tr w:rsidR="000C0BAF" w14:paraId="612D2C3C" w14:textId="77777777" w:rsidTr="00C76A1C">
        <w:tc>
          <w:tcPr>
            <w:tcW w:w="2500" w:type="pct"/>
          </w:tcPr>
          <w:p w14:paraId="67D8C8C5" w14:textId="77777777" w:rsidR="000C0BAF" w:rsidRPr="0090487B" w:rsidRDefault="000C0BAF" w:rsidP="00003088">
            <w:r w:rsidRPr="00003088">
              <w:t>Department of Education - Action Plan Addressing Gender-based Violence in Higher Education</w:t>
            </w:r>
          </w:p>
        </w:tc>
        <w:tc>
          <w:tcPr>
            <w:tcW w:w="2500" w:type="pct"/>
          </w:tcPr>
          <w:p w14:paraId="2E9307ED" w14:textId="77777777" w:rsidR="000C0BAF" w:rsidRPr="0090487B" w:rsidRDefault="000C0BAF" w:rsidP="000D2608">
            <w:r w:rsidRPr="00003088">
              <w:t>Bộ Giáo dục - Kế hoạ</w:t>
            </w:r>
            <w:r>
              <w:t>ch H</w:t>
            </w:r>
            <w:r w:rsidRPr="00003088">
              <w:t xml:space="preserve">ành động </w:t>
            </w:r>
            <w:r>
              <w:t>G</w:t>
            </w:r>
            <w:r w:rsidRPr="00003088">
              <w:t>iải quyế</w:t>
            </w:r>
            <w:r>
              <w:t>t V</w:t>
            </w:r>
            <w:r w:rsidRPr="00003088">
              <w:t xml:space="preserve">ấn nạn </w:t>
            </w:r>
            <w:r>
              <w:t>Bạo lực Giới tính trong</w:t>
            </w:r>
            <w:r w:rsidRPr="00003088">
              <w:t xml:space="preserve"> </w:t>
            </w:r>
            <w:r>
              <w:t>G</w:t>
            </w:r>
            <w:r w:rsidRPr="00003088">
              <w:t>iáo dụ</w:t>
            </w:r>
            <w:r>
              <w:t>c Đ</w:t>
            </w:r>
            <w:r w:rsidRPr="00003088">
              <w:t>ại học</w:t>
            </w:r>
          </w:p>
        </w:tc>
      </w:tr>
      <w:tr w:rsidR="000C0BAF" w14:paraId="173BF81F" w14:textId="77777777" w:rsidTr="00C76A1C">
        <w:tc>
          <w:tcPr>
            <w:tcW w:w="2500" w:type="pct"/>
          </w:tcPr>
          <w:p w14:paraId="01F2E139" w14:textId="77777777" w:rsidR="000C0BAF" w:rsidRPr="0090487B" w:rsidRDefault="000C0BAF" w:rsidP="00003088">
            <w:r w:rsidRPr="00003088">
              <w:t>Universities Accord (National Higher Education Code to Prevent and Respond to Gender-based Violence) Act 2025 (Cth)</w:t>
            </w:r>
          </w:p>
        </w:tc>
        <w:tc>
          <w:tcPr>
            <w:tcW w:w="2500" w:type="pct"/>
          </w:tcPr>
          <w:p w14:paraId="656EE026" w14:textId="77777777" w:rsidR="000C0BAF" w:rsidRPr="0090487B" w:rsidRDefault="000C0BAF" w:rsidP="000D2608">
            <w:r w:rsidRPr="00003088">
              <w:t>Đạo luật Hiệp định Đại học (Bộ luật Giáo dục Đại họ</w:t>
            </w:r>
            <w:r>
              <w:t>c Toàn q</w:t>
            </w:r>
            <w:r w:rsidRPr="00003088">
              <w:t xml:space="preserve">uốc về </w:t>
            </w:r>
            <w:r>
              <w:t>Ngăn ngừa</w:t>
            </w:r>
            <w:r w:rsidRPr="00003088">
              <w:t xml:space="preserve"> và Ứng phó với </w:t>
            </w:r>
            <w:r>
              <w:t>Bạo lực Giới tính</w:t>
            </w:r>
            <w:r w:rsidRPr="00003088">
              <w:t xml:space="preserve">) 2025 </w:t>
            </w:r>
            <w:r>
              <w:t>(Lbang)</w:t>
            </w:r>
          </w:p>
        </w:tc>
      </w:tr>
      <w:tr w:rsidR="000C0BAF" w14:paraId="4F17377F" w14:textId="77777777" w:rsidTr="00C76A1C">
        <w:tc>
          <w:tcPr>
            <w:tcW w:w="2500" w:type="pct"/>
          </w:tcPr>
          <w:p w14:paraId="62515E44" w14:textId="77777777" w:rsidR="000C0BAF" w:rsidRPr="0090487B" w:rsidRDefault="000C0BAF" w:rsidP="00003088">
            <w:r w:rsidRPr="00003088">
              <w:t>National Higher Education Code to Prevent and Respond to Gender-based Violence 2025</w:t>
            </w:r>
          </w:p>
        </w:tc>
        <w:tc>
          <w:tcPr>
            <w:tcW w:w="2500" w:type="pct"/>
          </w:tcPr>
          <w:p w14:paraId="5CFDCF21" w14:textId="77777777" w:rsidR="000C0BAF" w:rsidRPr="0090487B" w:rsidRDefault="000C0BAF" w:rsidP="000D2608">
            <w:r w:rsidRPr="00003088">
              <w:t xml:space="preserve">Bộ Quy tắc Giáo dục </w:t>
            </w:r>
            <w:r>
              <w:t>Đại học Toàn quốc</w:t>
            </w:r>
            <w:r w:rsidRPr="00003088">
              <w:t xml:space="preserve"> về </w:t>
            </w:r>
            <w:r>
              <w:t>Ngăn ngừa</w:t>
            </w:r>
            <w:r w:rsidRPr="00003088">
              <w:t xml:space="preserve"> và Ứng phó với </w:t>
            </w:r>
            <w:r>
              <w:t>Bạo lực Giới tính</w:t>
            </w:r>
            <w:r w:rsidRPr="00003088">
              <w:t xml:space="preserve"> 2025</w:t>
            </w:r>
          </w:p>
        </w:tc>
      </w:tr>
      <w:tr w:rsidR="000C0BAF" w14:paraId="1A8153C4" w14:textId="77777777" w:rsidTr="00C76A1C">
        <w:tc>
          <w:tcPr>
            <w:tcW w:w="2500" w:type="pct"/>
          </w:tcPr>
          <w:p w14:paraId="1C23C05F" w14:textId="77777777" w:rsidR="000C0BAF" w:rsidRPr="0090487B" w:rsidRDefault="000C0BAF" w:rsidP="00003088">
            <w:r w:rsidRPr="00003088">
              <w:t>Regulatory Guidance for the National Higher Education Code to Prevent and Respond to Gender-based Violence</w:t>
            </w:r>
          </w:p>
        </w:tc>
        <w:tc>
          <w:tcPr>
            <w:tcW w:w="2500" w:type="pct"/>
          </w:tcPr>
          <w:p w14:paraId="1E3CC497" w14:textId="77777777" w:rsidR="000C0BAF" w:rsidRPr="0090487B" w:rsidRDefault="000C0BAF" w:rsidP="000D2608">
            <w:r w:rsidRPr="00003088">
              <w:t xml:space="preserve">Hướng dẫn quy định cho Bộ luật Giáo dục </w:t>
            </w:r>
            <w:r>
              <w:t>Đại học Toàn quốc</w:t>
            </w:r>
            <w:r w:rsidRPr="00003088">
              <w:t xml:space="preserve"> về </w:t>
            </w:r>
            <w:r>
              <w:t>Ngăn ngừa</w:t>
            </w:r>
            <w:r w:rsidRPr="00003088">
              <w:t xml:space="preserve"> và Ứng phó với </w:t>
            </w:r>
            <w:r>
              <w:t>Bạo lực Giới tính</w:t>
            </w:r>
          </w:p>
        </w:tc>
      </w:tr>
      <w:tr w:rsidR="000C0BAF" w14:paraId="36A129C5" w14:textId="77777777" w:rsidTr="00C76A1C">
        <w:tc>
          <w:tcPr>
            <w:tcW w:w="2500" w:type="pct"/>
          </w:tcPr>
          <w:p w14:paraId="3DE9E3D8" w14:textId="77777777" w:rsidR="000C0BAF" w:rsidRPr="0090487B" w:rsidRDefault="000C0BAF" w:rsidP="00003088">
            <w:r w:rsidRPr="00003088">
              <w:t>Charter of Human Rights and Responsibilities Act 2006</w:t>
            </w:r>
            <w:r w:rsidRPr="00003088">
              <w:rPr>
                <w:rFonts w:ascii="Arial" w:hAnsi="Arial" w:cs="Arial"/>
              </w:rPr>
              <w:t> </w:t>
            </w:r>
            <w:r w:rsidRPr="00003088">
              <w:t>(Vic)</w:t>
            </w:r>
          </w:p>
        </w:tc>
        <w:tc>
          <w:tcPr>
            <w:tcW w:w="2500" w:type="pct"/>
          </w:tcPr>
          <w:p w14:paraId="67F95908" w14:textId="77777777" w:rsidR="000C0BAF" w:rsidRPr="0090487B" w:rsidRDefault="000C0BAF" w:rsidP="000D2608">
            <w:r w:rsidRPr="00003088">
              <w:t xml:space="preserve">Đạo luật </w:t>
            </w:r>
            <w:r>
              <w:t>Bản Tôn chỉ</w:t>
            </w:r>
            <w:r w:rsidRPr="00003088">
              <w:t xml:space="preserve"> Nhân quyền và Trách nhiệm 2006</w:t>
            </w:r>
            <w:r w:rsidRPr="00003088">
              <w:rPr>
                <w:rFonts w:ascii="Arial" w:hAnsi="Arial" w:cs="Arial"/>
              </w:rPr>
              <w:t> </w:t>
            </w:r>
            <w:r w:rsidRPr="00003088">
              <w:t>(Vic)</w:t>
            </w:r>
          </w:p>
        </w:tc>
      </w:tr>
      <w:tr w:rsidR="000C0BAF" w14:paraId="17C5D059" w14:textId="77777777" w:rsidTr="00C76A1C">
        <w:tc>
          <w:tcPr>
            <w:tcW w:w="2500" w:type="pct"/>
          </w:tcPr>
          <w:p w14:paraId="2FC7A99C" w14:textId="77777777" w:rsidR="000C0BAF" w:rsidRPr="0090487B" w:rsidRDefault="000C0BAF" w:rsidP="00003088">
            <w:r w:rsidRPr="00003088">
              <w:t>Child Wellbeing and Safety Act 2005</w:t>
            </w:r>
            <w:r w:rsidRPr="00003088">
              <w:rPr>
                <w:rFonts w:ascii="Arial" w:hAnsi="Arial" w:cs="Arial"/>
              </w:rPr>
              <w:t> </w:t>
            </w:r>
            <w:r w:rsidRPr="00003088">
              <w:t>(Vic)</w:t>
            </w:r>
          </w:p>
        </w:tc>
        <w:tc>
          <w:tcPr>
            <w:tcW w:w="2500" w:type="pct"/>
          </w:tcPr>
          <w:p w14:paraId="3574E49B" w14:textId="77777777" w:rsidR="000C0BAF" w:rsidRPr="0090487B" w:rsidRDefault="000C0BAF" w:rsidP="000D2608">
            <w:r w:rsidRPr="00003088">
              <w:t xml:space="preserve">Đạo luật </w:t>
            </w:r>
            <w:r>
              <w:t>An sinh</w:t>
            </w:r>
            <w:r w:rsidRPr="00003088">
              <w:t xml:space="preserve"> và An toàn Trẻ em 2005</w:t>
            </w:r>
            <w:r w:rsidRPr="00003088">
              <w:rPr>
                <w:rFonts w:ascii="Arial" w:hAnsi="Arial" w:cs="Arial"/>
              </w:rPr>
              <w:t> </w:t>
            </w:r>
            <w:r w:rsidRPr="00003088">
              <w:t>(Vic)</w:t>
            </w:r>
          </w:p>
        </w:tc>
      </w:tr>
      <w:tr w:rsidR="000C0BAF" w14:paraId="2B22FC7B" w14:textId="77777777" w:rsidTr="00C76A1C">
        <w:tc>
          <w:tcPr>
            <w:tcW w:w="2500" w:type="pct"/>
          </w:tcPr>
          <w:p w14:paraId="169824A3" w14:textId="77777777" w:rsidR="000C0BAF" w:rsidRPr="0090487B" w:rsidRDefault="000C0BAF" w:rsidP="00003088">
            <w:r w:rsidRPr="00003088">
              <w:t>Children, Youth and Families Act 2005</w:t>
            </w:r>
            <w:r w:rsidRPr="00003088">
              <w:rPr>
                <w:rFonts w:ascii="Arial" w:hAnsi="Arial" w:cs="Arial"/>
              </w:rPr>
              <w:t> </w:t>
            </w:r>
            <w:r w:rsidRPr="00003088">
              <w:t>(Vic)</w:t>
            </w:r>
          </w:p>
        </w:tc>
        <w:tc>
          <w:tcPr>
            <w:tcW w:w="2500" w:type="pct"/>
          </w:tcPr>
          <w:p w14:paraId="2ADAE760" w14:textId="77777777" w:rsidR="000C0BAF" w:rsidRPr="0090487B" w:rsidRDefault="000C0BAF" w:rsidP="000D2608">
            <w:r w:rsidRPr="00003088">
              <w:t>Đạo luật Trẻ em, Thanh thiếu niên và Gia đình 2005</w:t>
            </w:r>
            <w:r w:rsidRPr="00003088">
              <w:rPr>
                <w:rFonts w:ascii="Arial" w:hAnsi="Arial" w:cs="Arial"/>
              </w:rPr>
              <w:t> </w:t>
            </w:r>
            <w:r w:rsidRPr="00003088">
              <w:t>(Vic)</w:t>
            </w:r>
          </w:p>
        </w:tc>
      </w:tr>
      <w:tr w:rsidR="000C0BAF" w14:paraId="65F63EB7" w14:textId="77777777" w:rsidTr="00C76A1C">
        <w:tc>
          <w:tcPr>
            <w:tcW w:w="2500" w:type="pct"/>
          </w:tcPr>
          <w:p w14:paraId="0E4FD927" w14:textId="77777777" w:rsidR="000C0BAF" w:rsidRPr="0090487B" w:rsidRDefault="000C0BAF" w:rsidP="00003088">
            <w:r w:rsidRPr="00003088">
              <w:t>Crimes Act 1958</w:t>
            </w:r>
            <w:r w:rsidRPr="00003088">
              <w:rPr>
                <w:rFonts w:ascii="Arial" w:hAnsi="Arial" w:cs="Arial"/>
              </w:rPr>
              <w:t> </w:t>
            </w:r>
            <w:r w:rsidRPr="00003088">
              <w:t>(Vic)</w:t>
            </w:r>
          </w:p>
        </w:tc>
        <w:tc>
          <w:tcPr>
            <w:tcW w:w="2500" w:type="pct"/>
          </w:tcPr>
          <w:p w14:paraId="61739050" w14:textId="77777777" w:rsidR="000C0BAF" w:rsidRPr="0090487B" w:rsidRDefault="000C0BAF" w:rsidP="000D2608">
            <w:r w:rsidRPr="00003088">
              <w:t>Đạo luật Tội phạm 1958</w:t>
            </w:r>
            <w:r w:rsidRPr="00003088">
              <w:rPr>
                <w:rFonts w:ascii="Arial" w:hAnsi="Arial" w:cs="Arial"/>
              </w:rPr>
              <w:t> </w:t>
            </w:r>
            <w:r w:rsidRPr="00003088">
              <w:t>(Vic)</w:t>
            </w:r>
          </w:p>
        </w:tc>
      </w:tr>
      <w:tr w:rsidR="000C0BAF" w14:paraId="2F315B0B" w14:textId="77777777" w:rsidTr="00C76A1C">
        <w:tc>
          <w:tcPr>
            <w:tcW w:w="2500" w:type="pct"/>
          </w:tcPr>
          <w:p w14:paraId="768E1E30" w14:textId="77777777" w:rsidR="000C0BAF" w:rsidRPr="0090487B" w:rsidRDefault="000C0BAF" w:rsidP="00003088">
            <w:r w:rsidRPr="00003088">
              <w:t>Education Services for Overseas Students (ESOS) Act 2000</w:t>
            </w:r>
            <w:r w:rsidRPr="00003088">
              <w:rPr>
                <w:rFonts w:ascii="Arial" w:hAnsi="Arial" w:cs="Arial"/>
              </w:rPr>
              <w:t> </w:t>
            </w:r>
            <w:r w:rsidRPr="00003088">
              <w:t>(Cth)</w:t>
            </w:r>
          </w:p>
        </w:tc>
        <w:tc>
          <w:tcPr>
            <w:tcW w:w="2500" w:type="pct"/>
          </w:tcPr>
          <w:p w14:paraId="3AE71A63" w14:textId="77777777" w:rsidR="000C0BAF" w:rsidRPr="0090487B" w:rsidRDefault="000C0BAF" w:rsidP="000D2608">
            <w:r w:rsidRPr="00003088">
              <w:t xml:space="preserve">Dịch vụ Giáo dục </w:t>
            </w:r>
            <w:r>
              <w:t xml:space="preserve">Dành </w:t>
            </w:r>
            <w:r w:rsidRPr="00003088">
              <w:t>cho Sinh viên</w:t>
            </w:r>
            <w:r>
              <w:t>/Học sinh</w:t>
            </w:r>
            <w:r w:rsidRPr="00003088">
              <w:t xml:space="preserve"> Nước ngoài (ESOS) 2000</w:t>
            </w:r>
            <w:r w:rsidRPr="00003088">
              <w:rPr>
                <w:rFonts w:ascii="Arial" w:hAnsi="Arial" w:cs="Arial"/>
              </w:rPr>
              <w:t> </w:t>
            </w:r>
            <w:r>
              <w:t>(Lbang)</w:t>
            </w:r>
          </w:p>
        </w:tc>
      </w:tr>
      <w:tr w:rsidR="000C0BAF" w14:paraId="15A006F9" w14:textId="77777777" w:rsidTr="00C76A1C">
        <w:tc>
          <w:tcPr>
            <w:tcW w:w="2500" w:type="pct"/>
          </w:tcPr>
          <w:p w14:paraId="5A4D430C" w14:textId="77777777" w:rsidR="000C0BAF" w:rsidRPr="0090487B" w:rsidRDefault="000C0BAF" w:rsidP="00003088">
            <w:r w:rsidRPr="00003088">
              <w:t>Equal Opportunity Act 2010</w:t>
            </w:r>
            <w:r w:rsidRPr="00003088">
              <w:rPr>
                <w:rFonts w:ascii="Arial" w:hAnsi="Arial" w:cs="Arial"/>
              </w:rPr>
              <w:t> </w:t>
            </w:r>
            <w:r w:rsidRPr="00003088">
              <w:t>(Vic)</w:t>
            </w:r>
          </w:p>
        </w:tc>
        <w:tc>
          <w:tcPr>
            <w:tcW w:w="2500" w:type="pct"/>
          </w:tcPr>
          <w:p w14:paraId="1D820DB9" w14:textId="77777777" w:rsidR="000C0BAF" w:rsidRPr="0090487B" w:rsidRDefault="000C0BAF" w:rsidP="000D2608">
            <w:r w:rsidRPr="00003088">
              <w:t>Đạo luật Cơ hội Bình đẳng 2010</w:t>
            </w:r>
            <w:r w:rsidRPr="00003088">
              <w:rPr>
                <w:rFonts w:ascii="Arial" w:hAnsi="Arial" w:cs="Arial"/>
              </w:rPr>
              <w:t> </w:t>
            </w:r>
            <w:r w:rsidRPr="00003088">
              <w:t>(Vic)</w:t>
            </w:r>
          </w:p>
        </w:tc>
      </w:tr>
      <w:tr w:rsidR="000C0BAF" w14:paraId="7415D25D" w14:textId="77777777" w:rsidTr="00C76A1C">
        <w:tc>
          <w:tcPr>
            <w:tcW w:w="2500" w:type="pct"/>
          </w:tcPr>
          <w:p w14:paraId="78989FD9" w14:textId="77777777" w:rsidR="000C0BAF" w:rsidRPr="0090487B" w:rsidRDefault="000C0BAF" w:rsidP="00003088">
            <w:r w:rsidRPr="00003088">
              <w:t>Fair Work Act 2009</w:t>
            </w:r>
            <w:r w:rsidRPr="00003088">
              <w:rPr>
                <w:rFonts w:ascii="Arial" w:hAnsi="Arial" w:cs="Arial"/>
              </w:rPr>
              <w:t> </w:t>
            </w:r>
            <w:r w:rsidRPr="00003088">
              <w:t>(Cth)</w:t>
            </w:r>
          </w:p>
        </w:tc>
        <w:tc>
          <w:tcPr>
            <w:tcW w:w="2500" w:type="pct"/>
          </w:tcPr>
          <w:p w14:paraId="107829F0" w14:textId="77777777" w:rsidR="000C0BAF" w:rsidRPr="0090487B" w:rsidRDefault="000C0BAF" w:rsidP="000D2608">
            <w:r w:rsidRPr="00003088">
              <w:t xml:space="preserve">Đạo luật </w:t>
            </w:r>
            <w:r>
              <w:t>Việc làm Công bằng</w:t>
            </w:r>
            <w:r w:rsidRPr="00003088">
              <w:t xml:space="preserve"> 2009</w:t>
            </w:r>
            <w:r w:rsidRPr="00003088">
              <w:rPr>
                <w:rFonts w:ascii="Arial" w:hAnsi="Arial" w:cs="Arial"/>
              </w:rPr>
              <w:t> </w:t>
            </w:r>
            <w:r>
              <w:t>(Lbang)</w:t>
            </w:r>
          </w:p>
        </w:tc>
      </w:tr>
      <w:tr w:rsidR="000C0BAF" w14:paraId="5CC4D6EA" w14:textId="77777777" w:rsidTr="00C76A1C">
        <w:tc>
          <w:tcPr>
            <w:tcW w:w="2500" w:type="pct"/>
          </w:tcPr>
          <w:p w14:paraId="5FBE4E94" w14:textId="77777777" w:rsidR="000C0BAF" w:rsidRPr="0090487B" w:rsidRDefault="000C0BAF" w:rsidP="00003088">
            <w:r w:rsidRPr="00003088">
              <w:t>Gender Equality Act 2020</w:t>
            </w:r>
            <w:r w:rsidRPr="00003088">
              <w:rPr>
                <w:rFonts w:ascii="Arial" w:hAnsi="Arial" w:cs="Arial"/>
              </w:rPr>
              <w:t> </w:t>
            </w:r>
            <w:r w:rsidRPr="00003088">
              <w:t>(Vic)</w:t>
            </w:r>
          </w:p>
        </w:tc>
        <w:tc>
          <w:tcPr>
            <w:tcW w:w="2500" w:type="pct"/>
          </w:tcPr>
          <w:p w14:paraId="6BB62965" w14:textId="77777777" w:rsidR="000C0BAF" w:rsidRPr="0090487B" w:rsidRDefault="000C0BAF" w:rsidP="000D2608">
            <w:r w:rsidRPr="00003088">
              <w:t>Đạo luật Bình đẳng Giới 2020</w:t>
            </w:r>
            <w:r w:rsidRPr="00003088">
              <w:rPr>
                <w:rFonts w:ascii="Arial" w:hAnsi="Arial" w:cs="Arial"/>
              </w:rPr>
              <w:t> </w:t>
            </w:r>
            <w:r w:rsidRPr="00003088">
              <w:t>(Vic)</w:t>
            </w:r>
          </w:p>
        </w:tc>
      </w:tr>
      <w:tr w:rsidR="000C0BAF" w14:paraId="2A27116F" w14:textId="77777777" w:rsidTr="00C76A1C">
        <w:tc>
          <w:tcPr>
            <w:tcW w:w="2500" w:type="pct"/>
          </w:tcPr>
          <w:p w14:paraId="3CC9C32C" w14:textId="77777777" w:rsidR="000C0BAF" w:rsidRPr="0090487B" w:rsidRDefault="000C0BAF" w:rsidP="00003088">
            <w:r w:rsidRPr="00003088">
              <w:t>Higher Education Standards Framework (Threshold Standards) 2021</w:t>
            </w:r>
            <w:r w:rsidRPr="00003088">
              <w:rPr>
                <w:rFonts w:ascii="Arial" w:hAnsi="Arial" w:cs="Arial"/>
              </w:rPr>
              <w:t> </w:t>
            </w:r>
            <w:r w:rsidRPr="00003088">
              <w:t>(Cth)</w:t>
            </w:r>
          </w:p>
        </w:tc>
        <w:tc>
          <w:tcPr>
            <w:tcW w:w="2500" w:type="pct"/>
          </w:tcPr>
          <w:p w14:paraId="615EFF83" w14:textId="77777777" w:rsidR="000C0BAF" w:rsidRPr="0090487B" w:rsidRDefault="000C0BAF" w:rsidP="000D2608">
            <w:r>
              <w:t>Khuôn khổ Tiêu chuẩn</w:t>
            </w:r>
            <w:r w:rsidRPr="00003088">
              <w:t xml:space="preserve"> </w:t>
            </w:r>
            <w:r>
              <w:t>G</w:t>
            </w:r>
            <w:r w:rsidRPr="00003088">
              <w:t>iáo dụ</w:t>
            </w:r>
            <w:r>
              <w:t>c Đ</w:t>
            </w:r>
            <w:r w:rsidRPr="00003088">
              <w:t>ại học (Tiêu chuẩ</w:t>
            </w:r>
            <w:r>
              <w:t>n t</w:t>
            </w:r>
            <w:r w:rsidRPr="00003088">
              <w:t>ối thiểu) 2021</w:t>
            </w:r>
            <w:r w:rsidRPr="00003088">
              <w:rPr>
                <w:rFonts w:ascii="Arial" w:hAnsi="Arial" w:cs="Arial"/>
              </w:rPr>
              <w:t> </w:t>
            </w:r>
            <w:r>
              <w:t>(Lbang)</w:t>
            </w:r>
          </w:p>
        </w:tc>
      </w:tr>
      <w:tr w:rsidR="000C0BAF" w14:paraId="312A761C" w14:textId="77777777" w:rsidTr="00C76A1C">
        <w:tc>
          <w:tcPr>
            <w:tcW w:w="2500" w:type="pct"/>
          </w:tcPr>
          <w:p w14:paraId="59FD8ADB" w14:textId="77777777" w:rsidR="000C0BAF" w:rsidRPr="0090487B" w:rsidRDefault="000C0BAF" w:rsidP="00003088">
            <w:r w:rsidRPr="00003088">
              <w:t>Occupational Health and Safety Act 2004</w:t>
            </w:r>
            <w:r w:rsidRPr="00003088">
              <w:rPr>
                <w:rFonts w:ascii="Arial" w:hAnsi="Arial" w:cs="Arial"/>
              </w:rPr>
              <w:t> </w:t>
            </w:r>
            <w:r w:rsidRPr="00003088">
              <w:t>(Vic)</w:t>
            </w:r>
          </w:p>
        </w:tc>
        <w:tc>
          <w:tcPr>
            <w:tcW w:w="2500" w:type="pct"/>
          </w:tcPr>
          <w:p w14:paraId="22B7F80F" w14:textId="77777777" w:rsidR="000C0BAF" w:rsidRPr="0090487B" w:rsidRDefault="000C0BAF" w:rsidP="000D2608">
            <w:r w:rsidRPr="00003088">
              <w:t xml:space="preserve">Đạo luật </w:t>
            </w:r>
            <w:r>
              <w:t>S</w:t>
            </w:r>
            <w:r w:rsidRPr="00003088">
              <w:t xml:space="preserve">ức khỏe và </w:t>
            </w:r>
            <w:r>
              <w:t>A</w:t>
            </w:r>
            <w:r w:rsidRPr="00003088">
              <w:t xml:space="preserve">n toàn </w:t>
            </w:r>
            <w:r>
              <w:t>Ngành nghề</w:t>
            </w:r>
            <w:r w:rsidRPr="00003088">
              <w:t xml:space="preserve"> 2004</w:t>
            </w:r>
            <w:r w:rsidRPr="00003088">
              <w:rPr>
                <w:rFonts w:ascii="Arial" w:hAnsi="Arial" w:cs="Arial"/>
              </w:rPr>
              <w:t> </w:t>
            </w:r>
            <w:r w:rsidRPr="00003088">
              <w:t>(Vic)</w:t>
            </w:r>
          </w:p>
        </w:tc>
      </w:tr>
      <w:tr w:rsidR="000C0BAF" w14:paraId="08E88461" w14:textId="77777777" w:rsidTr="00C76A1C">
        <w:tc>
          <w:tcPr>
            <w:tcW w:w="2500" w:type="pct"/>
          </w:tcPr>
          <w:p w14:paraId="3DC4F9CE" w14:textId="77777777" w:rsidR="000C0BAF" w:rsidRPr="0090487B" w:rsidRDefault="000C0BAF" w:rsidP="00003088">
            <w:r w:rsidRPr="00003088">
              <w:t>Protected Disclosure Act 2012</w:t>
            </w:r>
            <w:r w:rsidRPr="00003088">
              <w:rPr>
                <w:rFonts w:ascii="Arial" w:hAnsi="Arial" w:cs="Arial"/>
              </w:rPr>
              <w:t> </w:t>
            </w:r>
            <w:r w:rsidRPr="00003088">
              <w:t>(Vic)</w:t>
            </w:r>
          </w:p>
        </w:tc>
        <w:tc>
          <w:tcPr>
            <w:tcW w:w="2500" w:type="pct"/>
          </w:tcPr>
          <w:p w14:paraId="628916D5" w14:textId="77777777" w:rsidR="000C0BAF" w:rsidRPr="0090487B" w:rsidRDefault="000C0BAF" w:rsidP="000D2608">
            <w:r w:rsidRPr="00003088">
              <w:t xml:space="preserve">Đạo luật Bảo vệ </w:t>
            </w:r>
            <w:r>
              <w:t>Đơn tố cáo</w:t>
            </w:r>
            <w:r w:rsidRPr="00003088">
              <w:t xml:space="preserve"> 2012</w:t>
            </w:r>
            <w:r w:rsidRPr="00003088">
              <w:rPr>
                <w:rFonts w:ascii="Arial" w:hAnsi="Arial" w:cs="Arial"/>
              </w:rPr>
              <w:t> </w:t>
            </w:r>
            <w:r w:rsidRPr="00003088">
              <w:t>(Vic)</w:t>
            </w:r>
          </w:p>
        </w:tc>
      </w:tr>
      <w:tr w:rsidR="000C0BAF" w14:paraId="7A32E30F" w14:textId="77777777" w:rsidTr="00C76A1C">
        <w:tc>
          <w:tcPr>
            <w:tcW w:w="2500" w:type="pct"/>
          </w:tcPr>
          <w:p w14:paraId="376A4573" w14:textId="77777777" w:rsidR="000C0BAF" w:rsidRPr="0090487B" w:rsidRDefault="000C0BAF" w:rsidP="00003088">
            <w:r w:rsidRPr="00003088">
              <w:t>Sex Discrimination Act 1984</w:t>
            </w:r>
            <w:r w:rsidRPr="00003088">
              <w:rPr>
                <w:rFonts w:ascii="Arial" w:hAnsi="Arial" w:cs="Arial"/>
              </w:rPr>
              <w:t> </w:t>
            </w:r>
            <w:r w:rsidRPr="00003088">
              <w:t>(Cth)</w:t>
            </w:r>
          </w:p>
        </w:tc>
        <w:tc>
          <w:tcPr>
            <w:tcW w:w="2500" w:type="pct"/>
          </w:tcPr>
          <w:p w14:paraId="7A5731C9" w14:textId="77777777" w:rsidR="000C0BAF" w:rsidRPr="0090487B" w:rsidRDefault="000C0BAF" w:rsidP="000D2608">
            <w:r w:rsidRPr="00003088">
              <w:t>Đạo luậ</w:t>
            </w:r>
            <w:r>
              <w:t>t C</w:t>
            </w:r>
            <w:r w:rsidRPr="00003088">
              <w:t xml:space="preserve">hống </w:t>
            </w:r>
            <w:r>
              <w:t>P</w:t>
            </w:r>
            <w:r w:rsidRPr="00003088">
              <w:t xml:space="preserve">hân biệt </w:t>
            </w:r>
            <w:r>
              <w:t>G</w:t>
            </w:r>
            <w:r w:rsidRPr="00003088">
              <w:t>iới tính</w:t>
            </w:r>
            <w:r>
              <w:t xml:space="preserve"> </w:t>
            </w:r>
            <w:r w:rsidRPr="00003088">
              <w:t>1984</w:t>
            </w:r>
            <w:r w:rsidRPr="00003088">
              <w:rPr>
                <w:rFonts w:ascii="Arial" w:hAnsi="Arial" w:cs="Arial"/>
              </w:rPr>
              <w:t> </w:t>
            </w:r>
            <w:r>
              <w:t>(Lbang)</w:t>
            </w:r>
          </w:p>
        </w:tc>
      </w:tr>
      <w:tr w:rsidR="000C0BAF" w14:paraId="227B1DAB" w14:textId="77777777" w:rsidTr="00C76A1C">
        <w:tc>
          <w:tcPr>
            <w:tcW w:w="2500" w:type="pct"/>
          </w:tcPr>
          <w:p w14:paraId="79D1CD14" w14:textId="77777777" w:rsidR="000C0BAF" w:rsidRPr="0090487B" w:rsidRDefault="000C0BAF" w:rsidP="00003088">
            <w:r w:rsidRPr="00003088">
              <w:t>Human Rights and Equal Opportunity Commission Act 1986 (Cth)</w:t>
            </w:r>
          </w:p>
        </w:tc>
        <w:tc>
          <w:tcPr>
            <w:tcW w:w="2500" w:type="pct"/>
          </w:tcPr>
          <w:p w14:paraId="44DC6A7C" w14:textId="77777777" w:rsidR="000C0BAF" w:rsidRPr="0090487B" w:rsidRDefault="000C0BAF" w:rsidP="000D2608">
            <w:r w:rsidRPr="00003088">
              <w:t xml:space="preserve">Đạo luật Ủy ban Nhân quyền và Cơ hội Bình đẳng 1986 </w:t>
            </w:r>
            <w:r>
              <w:t>(Lbang)</w:t>
            </w:r>
          </w:p>
        </w:tc>
      </w:tr>
      <w:tr w:rsidR="000C0BAF" w14:paraId="6474247B" w14:textId="77777777" w:rsidTr="00C76A1C">
        <w:tc>
          <w:tcPr>
            <w:tcW w:w="2500" w:type="pct"/>
          </w:tcPr>
          <w:p w14:paraId="3A78B53A" w14:textId="77777777" w:rsidR="000C0BAF" w:rsidRPr="0090487B" w:rsidRDefault="000C0BAF" w:rsidP="00003088">
            <w:r w:rsidRPr="00003088">
              <w:t>Workplace Gender Equality Act 2012 (Cth)</w:t>
            </w:r>
          </w:p>
        </w:tc>
        <w:tc>
          <w:tcPr>
            <w:tcW w:w="2500" w:type="pct"/>
          </w:tcPr>
          <w:p w14:paraId="5AFC5512" w14:textId="77777777" w:rsidR="000C0BAF" w:rsidRPr="0090487B" w:rsidRDefault="000C0BAF" w:rsidP="000D2608">
            <w:r w:rsidRPr="00003088">
              <w:t xml:space="preserve">Đạo luật Bình đẳng Giới </w:t>
            </w:r>
            <w:r>
              <w:t xml:space="preserve">tính </w:t>
            </w:r>
            <w:r w:rsidRPr="00003088">
              <w:t xml:space="preserve">tại Nơi làm việc 2012 </w:t>
            </w:r>
            <w:r>
              <w:t>(Lbang)</w:t>
            </w:r>
          </w:p>
        </w:tc>
      </w:tr>
      <w:tr w:rsidR="000C0BAF" w14:paraId="341893D2" w14:textId="77777777" w:rsidTr="00C76A1C">
        <w:tc>
          <w:tcPr>
            <w:tcW w:w="2500" w:type="pct"/>
          </w:tcPr>
          <w:p w14:paraId="20C773D3" w14:textId="77777777" w:rsidR="000C0BAF" w:rsidRPr="00003088" w:rsidRDefault="000C0BAF" w:rsidP="00003088">
            <w:r w:rsidRPr="00003088">
              <w:t>Workplace Injury Rehabilitation and Compensation Act 2013</w:t>
            </w:r>
            <w:r w:rsidRPr="00003088">
              <w:rPr>
                <w:rFonts w:ascii="Arial" w:hAnsi="Arial" w:cs="Arial"/>
              </w:rPr>
              <w:t> </w:t>
            </w:r>
            <w:r w:rsidRPr="00003088">
              <w:t>(Vic)</w:t>
            </w:r>
          </w:p>
        </w:tc>
        <w:tc>
          <w:tcPr>
            <w:tcW w:w="2500" w:type="pct"/>
          </w:tcPr>
          <w:p w14:paraId="5A69B601" w14:textId="77777777" w:rsidR="000C0BAF" w:rsidRPr="00003088" w:rsidRDefault="000C0BAF" w:rsidP="000D2608">
            <w:r w:rsidRPr="00003088">
              <w:t xml:space="preserve">Đạo luật </w:t>
            </w:r>
            <w:r>
              <w:t>P</w:t>
            </w:r>
            <w:r w:rsidRPr="00003088">
              <w:t xml:space="preserve">hục hồi và </w:t>
            </w:r>
            <w:r>
              <w:t>B</w:t>
            </w:r>
            <w:r w:rsidRPr="00003088">
              <w:t xml:space="preserve">ồi thường </w:t>
            </w:r>
            <w:r>
              <w:t>T</w:t>
            </w:r>
            <w:r w:rsidRPr="00003088">
              <w:t>hương t</w:t>
            </w:r>
            <w:r>
              <w:t>ật tại</w:t>
            </w:r>
            <w:r w:rsidRPr="00003088">
              <w:t xml:space="preserve"> </w:t>
            </w:r>
            <w:r>
              <w:t>N</w:t>
            </w:r>
            <w:r w:rsidRPr="00003088">
              <w:t>ơi làm việc 2013</w:t>
            </w:r>
            <w:r w:rsidRPr="00003088">
              <w:rPr>
                <w:rFonts w:ascii="Arial" w:hAnsi="Arial" w:cs="Arial"/>
              </w:rPr>
              <w:t> </w:t>
            </w:r>
            <w:r w:rsidRPr="00003088">
              <w:t>(Vic)</w:t>
            </w:r>
          </w:p>
        </w:tc>
      </w:tr>
      <w:tr w:rsidR="000C0BAF" w14:paraId="3B82B524" w14:textId="77777777" w:rsidTr="00C76A1C">
        <w:tc>
          <w:tcPr>
            <w:tcW w:w="2500" w:type="pct"/>
          </w:tcPr>
          <w:p w14:paraId="30EB9820" w14:textId="77777777" w:rsidR="000C0BAF" w:rsidRPr="00003088" w:rsidRDefault="000C0BAF" w:rsidP="00003088">
            <w:r w:rsidRPr="00003088">
              <w:t>Department of Foreign Affairs and Trade - Child Protection Policy</w:t>
            </w:r>
          </w:p>
        </w:tc>
        <w:tc>
          <w:tcPr>
            <w:tcW w:w="2500" w:type="pct"/>
          </w:tcPr>
          <w:p w14:paraId="33FC5BB7" w14:textId="77777777" w:rsidR="000C0BAF" w:rsidRPr="00003088" w:rsidRDefault="000C0BAF" w:rsidP="000D2608">
            <w:r w:rsidRPr="00003088">
              <w:t xml:space="preserve">Bộ Ngoại giao và </w:t>
            </w:r>
            <w:r>
              <w:t>Mậu dịch</w:t>
            </w:r>
            <w:r w:rsidRPr="00003088">
              <w:t xml:space="preserve"> - Chính sách </w:t>
            </w:r>
            <w:r>
              <w:t>B</w:t>
            </w:r>
            <w:r w:rsidRPr="00003088">
              <w:t xml:space="preserve">ảo vệ </w:t>
            </w:r>
            <w:r>
              <w:t>T</w:t>
            </w:r>
            <w:r w:rsidRPr="00003088">
              <w:t>rẻ em</w:t>
            </w:r>
          </w:p>
        </w:tc>
      </w:tr>
      <w:tr w:rsidR="000C0BAF" w14:paraId="449DBB59" w14:textId="77777777" w:rsidTr="00C76A1C">
        <w:tc>
          <w:tcPr>
            <w:tcW w:w="2500" w:type="pct"/>
          </w:tcPr>
          <w:p w14:paraId="7EABB72E" w14:textId="77777777" w:rsidR="000C0BAF" w:rsidRPr="00003088" w:rsidRDefault="000C0BAF" w:rsidP="00003088">
            <w:r w:rsidRPr="00003088">
              <w:t>Department of Foreign Affairs and Trade - Preventing Sexual Exploitation, Abuse and Harassment Policy</w:t>
            </w:r>
          </w:p>
        </w:tc>
        <w:tc>
          <w:tcPr>
            <w:tcW w:w="2500" w:type="pct"/>
          </w:tcPr>
          <w:p w14:paraId="2B0CB984" w14:textId="77777777" w:rsidR="000C0BAF" w:rsidRPr="00003088" w:rsidRDefault="000C0BAF" w:rsidP="000D2608">
            <w:r w:rsidRPr="00003088">
              <w:t xml:space="preserve">Bộ Ngoại giao và </w:t>
            </w:r>
            <w:r>
              <w:t>Mậu dịch</w:t>
            </w:r>
            <w:r w:rsidRPr="00003088">
              <w:t xml:space="preserve"> - Chính sách </w:t>
            </w:r>
            <w:r>
              <w:t>Ngăn ngừa</w:t>
            </w:r>
            <w:r w:rsidRPr="00003088">
              <w:t xml:space="preserve"> </w:t>
            </w:r>
            <w:r>
              <w:t>B</w:t>
            </w:r>
            <w:r w:rsidRPr="00003088">
              <w:t xml:space="preserve">óc lột </w:t>
            </w:r>
            <w:r>
              <w:t>T</w:t>
            </w:r>
            <w:r w:rsidRPr="00003088">
              <w:t xml:space="preserve">ình dục, </w:t>
            </w:r>
            <w:r>
              <w:t>Ngược đãi</w:t>
            </w:r>
            <w:r w:rsidRPr="00003088">
              <w:t xml:space="preserve"> và </w:t>
            </w:r>
            <w:r>
              <w:t>Q</w:t>
            </w:r>
            <w:r w:rsidRPr="00003088">
              <w:t xml:space="preserve">uấy rối </w:t>
            </w:r>
          </w:p>
        </w:tc>
      </w:tr>
      <w:tr w:rsidR="000C0BAF" w14:paraId="02F8C92B" w14:textId="77777777" w:rsidTr="00C76A1C">
        <w:tc>
          <w:tcPr>
            <w:tcW w:w="2500" w:type="pct"/>
          </w:tcPr>
          <w:p w14:paraId="2654B558" w14:textId="77777777" w:rsidR="000C0BAF" w:rsidRPr="00003088" w:rsidRDefault="000C0BAF" w:rsidP="00003088">
            <w:pPr>
              <w:rPr>
                <w:b/>
                <w:bCs/>
              </w:rPr>
            </w:pPr>
            <w:r w:rsidRPr="00003088">
              <w:rPr>
                <w:b/>
                <w:bCs/>
              </w:rPr>
              <w:t>Explore all policies and related resources</w:t>
            </w:r>
          </w:p>
        </w:tc>
        <w:tc>
          <w:tcPr>
            <w:tcW w:w="2500" w:type="pct"/>
          </w:tcPr>
          <w:p w14:paraId="09DB3944" w14:textId="77777777" w:rsidR="000C0BAF" w:rsidRPr="00003088" w:rsidRDefault="000C0BAF" w:rsidP="000D2608">
            <w:pPr>
              <w:rPr>
                <w:b/>
                <w:bCs/>
              </w:rPr>
            </w:pPr>
            <w:r w:rsidRPr="00003088">
              <w:rPr>
                <w:b/>
                <w:bCs/>
              </w:rPr>
              <w:t>Tìm hiểu tất cả các chính sách và nguồn tài liệu</w:t>
            </w:r>
            <w:r>
              <w:rPr>
                <w:b/>
                <w:bCs/>
              </w:rPr>
              <w:t xml:space="preserve"> có</w:t>
            </w:r>
            <w:r w:rsidRPr="00003088">
              <w:rPr>
                <w:b/>
                <w:bCs/>
              </w:rPr>
              <w:t xml:space="preserve"> liên quan.</w:t>
            </w:r>
          </w:p>
        </w:tc>
      </w:tr>
      <w:tr w:rsidR="000C0BAF" w14:paraId="74D25BA3" w14:textId="77777777" w:rsidTr="00C76A1C">
        <w:tc>
          <w:tcPr>
            <w:tcW w:w="2500" w:type="pct"/>
          </w:tcPr>
          <w:p w14:paraId="56430016" w14:textId="77777777" w:rsidR="000C0BAF" w:rsidRPr="0090487B" w:rsidRDefault="000C0BAF" w:rsidP="00003088">
            <w:r w:rsidRPr="0090487B">
              <w:t>To find out about our other policies, regulations and resources, head to the main policies section.</w:t>
            </w:r>
          </w:p>
        </w:tc>
        <w:tc>
          <w:tcPr>
            <w:tcW w:w="2500" w:type="pct"/>
          </w:tcPr>
          <w:p w14:paraId="3D3A4DAC" w14:textId="77777777" w:rsidR="000C0BAF" w:rsidRPr="0090487B" w:rsidRDefault="000C0BAF" w:rsidP="000D2608">
            <w:r w:rsidRPr="0090487B">
              <w:t xml:space="preserve">Để tìm hiểu về các chính sách, quy định và nguồn lực khác của chúng tôi, hãy truy cập </w:t>
            </w:r>
            <w:r>
              <w:t>phần</w:t>
            </w:r>
            <w:r w:rsidRPr="0090487B">
              <w:t xml:space="preserve"> chính sách chính.</w:t>
            </w:r>
          </w:p>
        </w:tc>
      </w:tr>
      <w:tr w:rsidR="000C0BAF" w14:paraId="089A0BEA" w14:textId="77777777" w:rsidTr="00C76A1C">
        <w:tc>
          <w:tcPr>
            <w:tcW w:w="2500" w:type="pct"/>
          </w:tcPr>
          <w:p w14:paraId="6B86A281" w14:textId="77777777" w:rsidR="000C0BAF" w:rsidRPr="0090487B" w:rsidRDefault="000C0BAF" w:rsidP="00003088">
            <w:r>
              <w:t>Browse all policies</w:t>
            </w:r>
          </w:p>
        </w:tc>
        <w:tc>
          <w:tcPr>
            <w:tcW w:w="2500" w:type="pct"/>
          </w:tcPr>
          <w:p w14:paraId="68332BDE" w14:textId="77777777" w:rsidR="000C0BAF" w:rsidRPr="0090487B" w:rsidRDefault="000C0BAF" w:rsidP="000D2608">
            <w:r>
              <w:t>Xem tất cả các chính sách</w:t>
            </w:r>
          </w:p>
        </w:tc>
      </w:tr>
    </w:tbl>
    <w:p w14:paraId="6B699379" w14:textId="77777777" w:rsidR="006A79DE" w:rsidRPr="005E4530" w:rsidRDefault="006A79DE" w:rsidP="005E4530"/>
    <w:sectPr w:rsidR="006A79DE" w:rsidRPr="005E4530" w:rsidSect="00C76A1C">
      <w:headerReference w:type="even" r:id="rId10"/>
      <w:head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E8DA" w14:textId="77777777" w:rsidR="005E2D87" w:rsidRDefault="005E2D87" w:rsidP="003F5A34">
      <w:pPr>
        <w:spacing w:after="0" w:line="240" w:lineRule="auto"/>
      </w:pPr>
      <w:r>
        <w:separator/>
      </w:r>
    </w:p>
  </w:endnote>
  <w:endnote w:type="continuationSeparator" w:id="0">
    <w:p w14:paraId="2BA7690C" w14:textId="77777777" w:rsidR="005E2D87" w:rsidRDefault="005E2D87" w:rsidP="003F5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7C4B" w14:textId="77777777" w:rsidR="005E2D87" w:rsidRDefault="005E2D87" w:rsidP="003F5A34">
      <w:pPr>
        <w:spacing w:after="0" w:line="240" w:lineRule="auto"/>
      </w:pPr>
      <w:r>
        <w:separator/>
      </w:r>
    </w:p>
  </w:footnote>
  <w:footnote w:type="continuationSeparator" w:id="0">
    <w:p w14:paraId="1B1E7770" w14:textId="77777777" w:rsidR="005E2D87" w:rsidRDefault="005E2D87" w:rsidP="003F5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71FB" w14:textId="77777777" w:rsidR="003F5A34" w:rsidRDefault="003F5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AE1D" w14:textId="77777777" w:rsidR="003F5A34" w:rsidRDefault="003F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F71E" w14:textId="77777777" w:rsidR="003F5A34" w:rsidRDefault="003F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4EAA"/>
    <w:multiLevelType w:val="multilevel"/>
    <w:tmpl w:val="0B4C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B1A87"/>
    <w:multiLevelType w:val="multilevel"/>
    <w:tmpl w:val="C790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367212"/>
    <w:multiLevelType w:val="multilevel"/>
    <w:tmpl w:val="BC80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96FFE"/>
    <w:multiLevelType w:val="multilevel"/>
    <w:tmpl w:val="616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97085"/>
    <w:multiLevelType w:val="multilevel"/>
    <w:tmpl w:val="C76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C50D3"/>
    <w:multiLevelType w:val="multilevel"/>
    <w:tmpl w:val="DEC0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11C19"/>
    <w:multiLevelType w:val="multilevel"/>
    <w:tmpl w:val="635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C2DB5"/>
    <w:multiLevelType w:val="multilevel"/>
    <w:tmpl w:val="796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34450">
    <w:abstractNumId w:val="1"/>
  </w:num>
  <w:num w:numId="2" w16cid:durableId="870605168">
    <w:abstractNumId w:val="2"/>
  </w:num>
  <w:num w:numId="3" w16cid:durableId="1901553854">
    <w:abstractNumId w:val="5"/>
  </w:num>
  <w:num w:numId="4" w16cid:durableId="1337147767">
    <w:abstractNumId w:val="4"/>
  </w:num>
  <w:num w:numId="5" w16cid:durableId="1476412623">
    <w:abstractNumId w:val="3"/>
  </w:num>
  <w:num w:numId="6" w16cid:durableId="1189952725">
    <w:abstractNumId w:val="6"/>
  </w:num>
  <w:num w:numId="7" w16cid:durableId="1361904855">
    <w:abstractNumId w:val="7"/>
  </w:num>
  <w:num w:numId="8" w16cid:durableId="60943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CE"/>
    <w:rsid w:val="00003088"/>
    <w:rsid w:val="000A7C02"/>
    <w:rsid w:val="000C0BAF"/>
    <w:rsid w:val="000E08CB"/>
    <w:rsid w:val="00102B88"/>
    <w:rsid w:val="00107C1A"/>
    <w:rsid w:val="00136061"/>
    <w:rsid w:val="00167DD6"/>
    <w:rsid w:val="001B5BCC"/>
    <w:rsid w:val="001F325F"/>
    <w:rsid w:val="00203B2E"/>
    <w:rsid w:val="002245DB"/>
    <w:rsid w:val="002348EF"/>
    <w:rsid w:val="002357D0"/>
    <w:rsid w:val="002460C7"/>
    <w:rsid w:val="0027613C"/>
    <w:rsid w:val="00300EFB"/>
    <w:rsid w:val="00310CB3"/>
    <w:rsid w:val="00323DA1"/>
    <w:rsid w:val="00331AC1"/>
    <w:rsid w:val="00347355"/>
    <w:rsid w:val="00362164"/>
    <w:rsid w:val="003A1105"/>
    <w:rsid w:val="003A3F67"/>
    <w:rsid w:val="003B0AAE"/>
    <w:rsid w:val="003F4748"/>
    <w:rsid w:val="003F5A34"/>
    <w:rsid w:val="004912E1"/>
    <w:rsid w:val="004C148C"/>
    <w:rsid w:val="004D2B80"/>
    <w:rsid w:val="004D2F60"/>
    <w:rsid w:val="004F2608"/>
    <w:rsid w:val="00514BE1"/>
    <w:rsid w:val="00532C5A"/>
    <w:rsid w:val="00573F38"/>
    <w:rsid w:val="005842A1"/>
    <w:rsid w:val="005C05EF"/>
    <w:rsid w:val="005D02CE"/>
    <w:rsid w:val="005E2D87"/>
    <w:rsid w:val="005E4530"/>
    <w:rsid w:val="0060124A"/>
    <w:rsid w:val="00623573"/>
    <w:rsid w:val="00651D63"/>
    <w:rsid w:val="006620E6"/>
    <w:rsid w:val="006A79DE"/>
    <w:rsid w:val="00734034"/>
    <w:rsid w:val="00737541"/>
    <w:rsid w:val="007733B0"/>
    <w:rsid w:val="007B2155"/>
    <w:rsid w:val="007C303F"/>
    <w:rsid w:val="0080239C"/>
    <w:rsid w:val="008039CB"/>
    <w:rsid w:val="00816024"/>
    <w:rsid w:val="00860FD8"/>
    <w:rsid w:val="00882A51"/>
    <w:rsid w:val="008B2655"/>
    <w:rsid w:val="008C1C22"/>
    <w:rsid w:val="008C2AB5"/>
    <w:rsid w:val="0090487B"/>
    <w:rsid w:val="009362EF"/>
    <w:rsid w:val="0093664F"/>
    <w:rsid w:val="00990567"/>
    <w:rsid w:val="009A26C5"/>
    <w:rsid w:val="009C4EF3"/>
    <w:rsid w:val="009E7656"/>
    <w:rsid w:val="00A54EFB"/>
    <w:rsid w:val="00A61632"/>
    <w:rsid w:val="00AB045E"/>
    <w:rsid w:val="00AC6D49"/>
    <w:rsid w:val="00B174A8"/>
    <w:rsid w:val="00B53EFE"/>
    <w:rsid w:val="00B54918"/>
    <w:rsid w:val="00BE366B"/>
    <w:rsid w:val="00BE472F"/>
    <w:rsid w:val="00C1766F"/>
    <w:rsid w:val="00C617E3"/>
    <w:rsid w:val="00C76A1C"/>
    <w:rsid w:val="00CD33EB"/>
    <w:rsid w:val="00CF77F0"/>
    <w:rsid w:val="00D208C8"/>
    <w:rsid w:val="00D22E69"/>
    <w:rsid w:val="00D4372D"/>
    <w:rsid w:val="00D606D2"/>
    <w:rsid w:val="00D67E57"/>
    <w:rsid w:val="00D81DCA"/>
    <w:rsid w:val="00D94033"/>
    <w:rsid w:val="00D9478E"/>
    <w:rsid w:val="00DE0E55"/>
    <w:rsid w:val="00E66914"/>
    <w:rsid w:val="00E9473E"/>
    <w:rsid w:val="00E95944"/>
    <w:rsid w:val="00EB492D"/>
    <w:rsid w:val="00EE6C48"/>
    <w:rsid w:val="00F27B17"/>
    <w:rsid w:val="00F527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DA47"/>
  <w15:docId w15:val="{1E19436B-C0C7-4EC1-8EF9-0F3C0C2E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0E6"/>
  </w:style>
  <w:style w:type="paragraph" w:styleId="Heading1">
    <w:name w:val="heading 1"/>
    <w:basedOn w:val="Normal"/>
    <w:next w:val="Normal"/>
    <w:link w:val="Heading1Char"/>
    <w:uiPriority w:val="9"/>
    <w:qFormat/>
    <w:rsid w:val="005D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2CE"/>
    <w:rPr>
      <w:rFonts w:eastAsiaTheme="majorEastAsia" w:cstheme="majorBidi"/>
      <w:color w:val="272727" w:themeColor="text1" w:themeTint="D8"/>
    </w:rPr>
  </w:style>
  <w:style w:type="paragraph" w:styleId="Title">
    <w:name w:val="Title"/>
    <w:basedOn w:val="Normal"/>
    <w:next w:val="Normal"/>
    <w:link w:val="TitleChar"/>
    <w:uiPriority w:val="10"/>
    <w:qFormat/>
    <w:rsid w:val="005D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2CE"/>
    <w:pPr>
      <w:spacing w:before="160"/>
      <w:jc w:val="center"/>
    </w:pPr>
    <w:rPr>
      <w:i/>
      <w:iCs/>
      <w:color w:val="404040" w:themeColor="text1" w:themeTint="BF"/>
    </w:rPr>
  </w:style>
  <w:style w:type="character" w:customStyle="1" w:styleId="QuoteChar">
    <w:name w:val="Quote Char"/>
    <w:basedOn w:val="DefaultParagraphFont"/>
    <w:link w:val="Quote"/>
    <w:uiPriority w:val="29"/>
    <w:rsid w:val="005D02CE"/>
    <w:rPr>
      <w:i/>
      <w:iCs/>
      <w:color w:val="404040" w:themeColor="text1" w:themeTint="BF"/>
    </w:rPr>
  </w:style>
  <w:style w:type="paragraph" w:styleId="ListParagraph">
    <w:name w:val="List Paragraph"/>
    <w:basedOn w:val="Normal"/>
    <w:uiPriority w:val="34"/>
    <w:qFormat/>
    <w:rsid w:val="005D02CE"/>
    <w:pPr>
      <w:ind w:left="720"/>
      <w:contextualSpacing/>
    </w:pPr>
  </w:style>
  <w:style w:type="character" w:styleId="IntenseEmphasis">
    <w:name w:val="Intense Emphasis"/>
    <w:basedOn w:val="DefaultParagraphFont"/>
    <w:uiPriority w:val="21"/>
    <w:qFormat/>
    <w:rsid w:val="005D02CE"/>
    <w:rPr>
      <w:i/>
      <w:iCs/>
      <w:color w:val="0F4761" w:themeColor="accent1" w:themeShade="BF"/>
    </w:rPr>
  </w:style>
  <w:style w:type="paragraph" w:styleId="IntenseQuote">
    <w:name w:val="Intense Quote"/>
    <w:basedOn w:val="Normal"/>
    <w:next w:val="Normal"/>
    <w:link w:val="IntenseQuoteChar"/>
    <w:uiPriority w:val="30"/>
    <w:qFormat/>
    <w:rsid w:val="005D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2CE"/>
    <w:rPr>
      <w:i/>
      <w:iCs/>
      <w:color w:val="0F4761" w:themeColor="accent1" w:themeShade="BF"/>
    </w:rPr>
  </w:style>
  <w:style w:type="character" w:styleId="IntenseReference">
    <w:name w:val="Intense Reference"/>
    <w:basedOn w:val="DefaultParagraphFont"/>
    <w:uiPriority w:val="32"/>
    <w:qFormat/>
    <w:rsid w:val="005D02CE"/>
    <w:rPr>
      <w:b/>
      <w:bCs/>
      <w:smallCaps/>
      <w:color w:val="0F4761" w:themeColor="accent1" w:themeShade="BF"/>
      <w:spacing w:val="5"/>
    </w:rPr>
  </w:style>
  <w:style w:type="character" w:styleId="Hyperlink">
    <w:name w:val="Hyperlink"/>
    <w:basedOn w:val="DefaultParagraphFont"/>
    <w:uiPriority w:val="99"/>
    <w:unhideWhenUsed/>
    <w:rsid w:val="003A1105"/>
    <w:rPr>
      <w:color w:val="467886" w:themeColor="hyperlink"/>
      <w:u w:val="single"/>
    </w:rPr>
  </w:style>
  <w:style w:type="character" w:customStyle="1" w:styleId="UnresolvedMention1">
    <w:name w:val="Unresolved Mention1"/>
    <w:basedOn w:val="DefaultParagraphFont"/>
    <w:uiPriority w:val="99"/>
    <w:semiHidden/>
    <w:unhideWhenUsed/>
    <w:rsid w:val="003A1105"/>
    <w:rPr>
      <w:color w:val="605E5C"/>
      <w:shd w:val="clear" w:color="auto" w:fill="E1DFDD"/>
    </w:rPr>
  </w:style>
  <w:style w:type="table" w:styleId="TableGrid">
    <w:name w:val="Table Grid"/>
    <w:basedOn w:val="TableNormal"/>
    <w:uiPriority w:val="39"/>
    <w:rsid w:val="005E4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148B3252C78240A85651CC547EB5D5" ma:contentTypeVersion="15" ma:contentTypeDescription="Create a new document." ma:contentTypeScope="" ma:versionID="0daf4113e4b90823280ca6adf06c07ad">
  <xsd:schema xmlns:xsd="http://www.w3.org/2001/XMLSchema" xmlns:xs="http://www.w3.org/2001/XMLSchema" xmlns:p="http://schemas.microsoft.com/office/2006/metadata/properties" xmlns:ns2="c7d54e99-f20e-4e2a-a856-49057dec4fd2" xmlns:ns3="32c4ae04-a825-47d2-bebc-e23223d11185" targetNamespace="http://schemas.microsoft.com/office/2006/metadata/properties" ma:root="true" ma:fieldsID="129538cf767cd552e6e9cf7c232d7781" ns2:_="" ns3:_="">
    <xsd:import namespace="c7d54e99-f20e-4e2a-a856-49057dec4fd2"/>
    <xsd:import namespace="32c4ae04-a825-47d2-bebc-e23223d11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4e99-f20e-4e2a-a856-49057dec4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4ae04-a825-47d2-bebc-e23223d111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d54e99-f20e-4e2a-a856-49057dec4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9D7251-7929-4BA1-A26C-EC92BB8D6C45}">
  <ds:schemaRefs>
    <ds:schemaRef ds:uri="http://schemas.microsoft.com/sharepoint/v3/contenttype/forms"/>
  </ds:schemaRefs>
</ds:datastoreItem>
</file>

<file path=customXml/itemProps2.xml><?xml version="1.0" encoding="utf-8"?>
<ds:datastoreItem xmlns:ds="http://schemas.openxmlformats.org/officeDocument/2006/customXml" ds:itemID="{3A63421B-2C46-45DE-B04C-68B6A4DC3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4e99-f20e-4e2a-a856-49057dec4fd2"/>
    <ds:schemaRef ds:uri="32c4ae04-a825-47d2-bebc-e23223d11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97D54-2898-499F-92A2-321E963CB374}">
  <ds:schemaRefs>
    <ds:schemaRef ds:uri="http://schemas.microsoft.com/office/2006/metadata/properties"/>
    <ds:schemaRef ds:uri="http://schemas.microsoft.com/office/infopath/2007/PartnerControls"/>
    <ds:schemaRef ds:uri="c7d54e99-f20e-4e2a-a856-49057dec4f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5350</Words>
  <Characters>30501</Characters>
  <Application>Microsoft Office Word</Application>
  <DocSecurity>0</DocSecurity>
  <Lines>254</Lines>
  <Paragraphs>71</Paragraphs>
  <ScaleCrop>false</ScaleCrop>
  <Company/>
  <LinksUpToDate>false</LinksUpToDate>
  <CharactersWithSpaces>35780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Kirkwood</dc:creator>
  <cp:lastModifiedBy>Elle McClintock</cp:lastModifiedBy>
  <cp:revision>9</cp:revision>
  <dcterms:created xsi:type="dcterms:W3CDTF">2026-04-01T22:20:00Z</dcterms:created>
  <dcterms:modified xsi:type="dcterms:W3CDTF">2026-04-01T22:20:00Z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0x010100FD148B3252C78240A85651CC547EB5D5</vt:lpwstr>
  </property>
  <property fmtid="{D5CDD505-2E9C-101B-9397-08002B2CF9AE}" pid="3" name="MediaServiceImageTags">
    <vt:lpwstr/>
  </property>
</Properties>
</file>