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5" w:rsidRPr="0040754F" w:rsidRDefault="007D5465" w:rsidP="007D5465">
      <w:pPr>
        <w:pStyle w:val="SCERHtitle"/>
        <w:rPr>
          <w:rFonts w:ascii="Arial" w:hAnsi="Arial" w:cs="Arial"/>
          <w:u w:val="single"/>
        </w:rPr>
      </w:pPr>
      <w:bookmarkStart w:id="0" w:name="_GoBack"/>
      <w:bookmarkEnd w:id="0"/>
      <w:r w:rsidRPr="0040754F">
        <w:rPr>
          <w:rFonts w:ascii="Arial" w:hAnsi="Arial" w:cs="Arial"/>
          <w:u w:val="single"/>
        </w:rPr>
        <w:t>Swinburne Biosafety Committee</w:t>
      </w:r>
    </w:p>
    <w:p w:rsidR="007D5465" w:rsidRPr="0040754F" w:rsidRDefault="007D5465" w:rsidP="007D5465">
      <w:pPr>
        <w:pStyle w:val="SCERHtitle"/>
        <w:rPr>
          <w:rFonts w:ascii="Arial" w:hAnsi="Arial" w:cs="Arial"/>
        </w:rPr>
      </w:pPr>
    </w:p>
    <w:p w:rsidR="007D5465" w:rsidRPr="0040754F" w:rsidRDefault="00595647" w:rsidP="007D5465">
      <w:pPr>
        <w:pStyle w:val="SCERH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Application for Notifiable </w:t>
      </w:r>
      <w:r w:rsidR="007D5465">
        <w:rPr>
          <w:rFonts w:ascii="Arial" w:hAnsi="Arial" w:cs="Arial"/>
          <w:sz w:val="32"/>
          <w:szCs w:val="32"/>
        </w:rPr>
        <w:t>L</w:t>
      </w:r>
      <w:r w:rsidR="007D5465" w:rsidRPr="0040754F">
        <w:rPr>
          <w:rFonts w:ascii="Arial" w:hAnsi="Arial" w:cs="Arial"/>
          <w:sz w:val="32"/>
          <w:szCs w:val="32"/>
        </w:rPr>
        <w:t xml:space="preserve">ow </w:t>
      </w:r>
      <w:r w:rsidR="007D5465">
        <w:rPr>
          <w:rFonts w:ascii="Arial" w:hAnsi="Arial" w:cs="Arial"/>
          <w:sz w:val="32"/>
          <w:szCs w:val="32"/>
        </w:rPr>
        <w:t>Risk D</w:t>
      </w:r>
      <w:r w:rsidR="007D5465" w:rsidRPr="0040754F">
        <w:rPr>
          <w:rFonts w:ascii="Arial" w:hAnsi="Arial" w:cs="Arial"/>
          <w:sz w:val="32"/>
          <w:szCs w:val="32"/>
        </w:rPr>
        <w:t xml:space="preserve">ealings </w:t>
      </w:r>
      <w:r w:rsidR="007D5465">
        <w:rPr>
          <w:rFonts w:ascii="Arial" w:hAnsi="Arial" w:cs="Arial"/>
          <w:sz w:val="32"/>
          <w:szCs w:val="32"/>
        </w:rPr>
        <w:t xml:space="preserve">(NLRDs) </w:t>
      </w:r>
      <w:r w:rsidR="002576A5">
        <w:rPr>
          <w:rFonts w:ascii="Arial" w:hAnsi="Arial" w:cs="Arial"/>
          <w:sz w:val="32"/>
          <w:szCs w:val="32"/>
        </w:rPr>
        <w:t>suitable for Physical C</w:t>
      </w:r>
      <w:r w:rsidR="007D5465" w:rsidRPr="0040754F">
        <w:rPr>
          <w:rFonts w:ascii="Arial" w:hAnsi="Arial" w:cs="Arial"/>
          <w:sz w:val="32"/>
          <w:szCs w:val="32"/>
        </w:rPr>
        <w:t>ontainment level 2 (PC2)</w:t>
      </w:r>
    </w:p>
    <w:p w:rsidR="007D5465" w:rsidRPr="0040754F" w:rsidRDefault="007D5465" w:rsidP="007D5465">
      <w:pPr>
        <w:pStyle w:val="SCERHtitle"/>
        <w:jc w:val="left"/>
        <w:rPr>
          <w:rFonts w:ascii="Arial" w:hAnsi="Arial" w:cs="Arial"/>
        </w:rPr>
      </w:pPr>
    </w:p>
    <w:p w:rsidR="007D5465" w:rsidRPr="0040754F" w:rsidRDefault="007D5465" w:rsidP="007D5465">
      <w:pPr>
        <w:pStyle w:val="SCERHtitle"/>
        <w:rPr>
          <w:rFonts w:ascii="Arial" w:hAnsi="Arial" w:cs="Arial"/>
        </w:rPr>
      </w:pPr>
    </w:p>
    <w:tbl>
      <w:tblPr>
        <w:tblW w:w="10696" w:type="dxa"/>
        <w:tblInd w:w="-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5629"/>
      </w:tblGrid>
      <w:tr w:rsidR="007D5465" w:rsidRPr="0040754F" w:rsidTr="009E0041">
        <w:trPr>
          <w:cantSplit/>
          <w:trHeight w:val="50"/>
        </w:trPr>
        <w:tc>
          <w:tcPr>
            <w:tcW w:w="5067" w:type="dxa"/>
            <w:shd w:val="clear" w:color="auto" w:fill="F3F3F3"/>
          </w:tcPr>
          <w:p w:rsidR="007D5465" w:rsidRPr="0040754F" w:rsidRDefault="007D5465" w:rsidP="009E0041">
            <w:pPr>
              <w:pStyle w:val="Questionheading"/>
            </w:pPr>
            <w:r w:rsidRPr="0040754F">
              <w:t>DATE RECEIVED</w:t>
            </w:r>
          </w:p>
        </w:tc>
        <w:tc>
          <w:tcPr>
            <w:tcW w:w="5629" w:type="dxa"/>
            <w:shd w:val="clear" w:color="auto" w:fill="F3F3F3"/>
          </w:tcPr>
          <w:p w:rsidR="007D5465" w:rsidRPr="0040754F" w:rsidRDefault="007D5465" w:rsidP="009E0041">
            <w:pPr>
              <w:pStyle w:val="Questionheading"/>
            </w:pPr>
            <w:smartTag w:uri="urn:schemas-microsoft-com:office:smarttags" w:element="stockticker">
              <w:r w:rsidRPr="0040754F">
                <w:t>SBC</w:t>
              </w:r>
            </w:smartTag>
            <w:r w:rsidRPr="0040754F">
              <w:t xml:space="preserve"> REFERENCE NUMBER</w:t>
            </w:r>
          </w:p>
        </w:tc>
      </w:tr>
      <w:tr w:rsidR="007D5465" w:rsidRPr="0040754F" w:rsidTr="009E0041">
        <w:trPr>
          <w:trHeight w:val="702"/>
        </w:trPr>
        <w:tc>
          <w:tcPr>
            <w:tcW w:w="5067" w:type="dxa"/>
            <w:shd w:val="clear" w:color="auto" w:fill="F3F3F3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Office use only</w:t>
            </w:r>
          </w:p>
        </w:tc>
        <w:tc>
          <w:tcPr>
            <w:tcW w:w="5629" w:type="dxa"/>
            <w:shd w:val="clear" w:color="auto" w:fill="F3F3F3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Office use only</w:t>
            </w:r>
          </w:p>
        </w:tc>
      </w:tr>
    </w:tbl>
    <w:p w:rsidR="007D5465" w:rsidRPr="0040754F" w:rsidRDefault="007D5465" w:rsidP="007D5465">
      <w:pPr>
        <w:pStyle w:val="Header"/>
        <w:widowControl/>
        <w:tabs>
          <w:tab w:val="clear" w:pos="4153"/>
          <w:tab w:val="clear" w:pos="8306"/>
        </w:tabs>
        <w:suppressAutoHyphens w:val="0"/>
        <w:spacing w:line="240" w:lineRule="auto"/>
        <w:rPr>
          <w:rFonts w:cs="Arial"/>
          <w:noProof/>
          <w:szCs w:val="24"/>
        </w:rPr>
      </w:pPr>
    </w:p>
    <w:p w:rsidR="007D5465" w:rsidRPr="0040754F" w:rsidRDefault="007D5465" w:rsidP="007D5465">
      <w:pPr>
        <w:pStyle w:val="Header"/>
        <w:widowControl/>
        <w:tabs>
          <w:tab w:val="clear" w:pos="4153"/>
          <w:tab w:val="clear" w:pos="8306"/>
        </w:tabs>
        <w:suppressAutoHyphens w:val="0"/>
        <w:spacing w:line="240" w:lineRule="auto"/>
        <w:rPr>
          <w:rFonts w:cs="Arial"/>
          <w:noProof/>
          <w:szCs w:val="24"/>
        </w:rPr>
        <w:sectPr w:rsidR="007D5465" w:rsidRPr="0040754F">
          <w:footerReference w:type="default" r:id="rId8"/>
          <w:headerReference w:type="first" r:id="rId9"/>
          <w:footerReference w:type="first" r:id="rId10"/>
          <w:pgSz w:w="11906" w:h="16838" w:code="9"/>
          <w:pgMar w:top="1134" w:right="2835" w:bottom="1701" w:left="1418" w:header="964" w:footer="454" w:gutter="0"/>
          <w:cols w:space="720"/>
          <w:titlePg/>
        </w:sectPr>
      </w:pPr>
    </w:p>
    <w:p w:rsidR="007D5465" w:rsidRPr="0040754F" w:rsidRDefault="007D5465" w:rsidP="007D5465">
      <w:pPr>
        <w:pStyle w:val="BodyText"/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rPr>
          <w:cantSplit/>
        </w:trPr>
        <w:tc>
          <w:tcPr>
            <w:tcW w:w="851" w:type="dxa"/>
            <w:shd w:val="clear" w:color="auto" w:fill="FF0000"/>
          </w:tcPr>
          <w:p w:rsidR="007D5465" w:rsidRPr="0040754F" w:rsidRDefault="007D5465" w:rsidP="009E0041">
            <w:pPr>
              <w:pStyle w:val="Questionheading"/>
            </w:pPr>
            <w:r w:rsidRPr="0040754F">
              <w:t>1</w:t>
            </w:r>
          </w:p>
        </w:tc>
        <w:tc>
          <w:tcPr>
            <w:tcW w:w="9923" w:type="dxa"/>
            <w:shd w:val="clear" w:color="auto" w:fill="auto"/>
          </w:tcPr>
          <w:p w:rsidR="007D5465" w:rsidRPr="0040754F" w:rsidRDefault="007D5465" w:rsidP="009E0041">
            <w:pPr>
              <w:pStyle w:val="Questionheading"/>
            </w:pPr>
            <w:r w:rsidRPr="0040754F">
              <w:t>Title of project</w:t>
            </w:r>
          </w:p>
        </w:tc>
      </w:tr>
      <w:bookmarkStart w:id="1" w:name="Text189"/>
      <w:tr w:rsidR="007D5465" w:rsidRPr="0040754F" w:rsidTr="009E0041">
        <w:tc>
          <w:tcPr>
            <w:tcW w:w="10774" w:type="dxa"/>
            <w:gridSpan w:val="2"/>
            <w:shd w:val="clear" w:color="auto" w:fill="auto"/>
          </w:tcPr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  <w:bookmarkEnd w:id="1"/>
          </w:p>
          <w:p w:rsidR="007D5465" w:rsidRPr="0040754F" w:rsidRDefault="007D5465" w:rsidP="009E0041">
            <w:pPr>
              <w:pStyle w:val="BodyText"/>
            </w:pPr>
          </w:p>
        </w:tc>
      </w:tr>
    </w:tbl>
    <w:p w:rsidR="007D5465" w:rsidRPr="0040754F" w:rsidRDefault="007D5465" w:rsidP="007D5465">
      <w:pPr>
        <w:pStyle w:val="BodyText"/>
      </w:pPr>
    </w:p>
    <w:p w:rsidR="007D5465" w:rsidRPr="0040754F" w:rsidRDefault="007D5465" w:rsidP="007D5465">
      <w:pPr>
        <w:pStyle w:val="BodyText"/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9913"/>
      </w:tblGrid>
      <w:tr w:rsidR="008133EF" w:rsidRPr="0040754F" w:rsidTr="00E339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1" w:type="dxa"/>
            <w:shd w:val="clear" w:color="auto" w:fill="FF0000"/>
          </w:tcPr>
          <w:p w:rsidR="008133EF" w:rsidRPr="0040754F" w:rsidRDefault="008133EF" w:rsidP="00E33917">
            <w:pPr>
              <w:pStyle w:val="Questionheading"/>
            </w:pPr>
            <w:r w:rsidRPr="0040754F">
              <w:t>2</w:t>
            </w:r>
          </w:p>
        </w:tc>
        <w:tc>
          <w:tcPr>
            <w:tcW w:w="9913" w:type="dxa"/>
            <w:shd w:val="clear" w:color="auto" w:fill="auto"/>
          </w:tcPr>
          <w:p w:rsidR="008133EF" w:rsidRPr="00D33639" w:rsidRDefault="00F07720" w:rsidP="00E33917">
            <w:pPr>
              <w:pStyle w:val="Questionheading"/>
              <w:spacing w:line="360" w:lineRule="auto"/>
            </w:pPr>
            <w:r w:rsidRPr="00F07720">
              <w:t>Responsible Person Supervisor</w:t>
            </w:r>
          </w:p>
        </w:tc>
      </w:tr>
      <w:tr w:rsidR="00F5148A" w:rsidRPr="0040754F" w:rsidTr="00D05A8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774" w:type="dxa"/>
            <w:gridSpan w:val="2"/>
          </w:tcPr>
          <w:p w:rsidR="00F5148A" w:rsidRPr="0040754F" w:rsidRDefault="00F5148A" w:rsidP="00F07720">
            <w:pPr>
              <w:pStyle w:val="BodyText"/>
            </w:pPr>
          </w:p>
        </w:tc>
      </w:tr>
    </w:tbl>
    <w:p w:rsidR="00E33917" w:rsidRPr="0040754F" w:rsidRDefault="00E33917" w:rsidP="007D5465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rPr>
          <w:cantSplit/>
        </w:trPr>
        <w:tc>
          <w:tcPr>
            <w:tcW w:w="851" w:type="dxa"/>
            <w:shd w:val="clear" w:color="auto" w:fill="FF0000"/>
          </w:tcPr>
          <w:p w:rsidR="007D5465" w:rsidRPr="0040754F" w:rsidRDefault="00A3051D" w:rsidP="009E0041">
            <w:pPr>
              <w:pStyle w:val="Questionheading"/>
            </w:pPr>
            <w:r>
              <w:t>3</w:t>
            </w:r>
          </w:p>
        </w:tc>
        <w:tc>
          <w:tcPr>
            <w:tcW w:w="9923" w:type="dxa"/>
          </w:tcPr>
          <w:p w:rsidR="007D5465" w:rsidRPr="008133EF" w:rsidRDefault="007D5465" w:rsidP="009E0041">
            <w:pPr>
              <w:pStyle w:val="Questionheading"/>
              <w:rPr>
                <w:lang w:val="en-AU"/>
              </w:rPr>
            </w:pPr>
            <w:r w:rsidRPr="0040754F">
              <w:t xml:space="preserve">Type of </w:t>
            </w:r>
            <w:r w:rsidR="008133EF">
              <w:rPr>
                <w:lang w:val="en-AU"/>
              </w:rPr>
              <w:t xml:space="preserve">NLRD </w:t>
            </w:r>
            <w:r w:rsidRPr="0040754F">
              <w:t>Dealing</w:t>
            </w:r>
            <w:r>
              <w:rPr>
                <w:lang w:val="en-AU"/>
              </w:rPr>
              <w:t xml:space="preserve"> </w:t>
            </w:r>
            <w:r w:rsidRPr="0040754F">
              <w:rPr>
                <w:b w:val="0"/>
                <w:sz w:val="20"/>
                <w:szCs w:val="20"/>
              </w:rPr>
              <w:t>(check the box that applies)</w:t>
            </w:r>
            <w:r w:rsidR="008133EF">
              <w:rPr>
                <w:b w:val="0"/>
                <w:sz w:val="20"/>
                <w:szCs w:val="20"/>
                <w:lang w:val="en-AU"/>
              </w:rPr>
              <w:t xml:space="preserve">  – </w:t>
            </w:r>
            <w:r w:rsidR="008133EF" w:rsidRPr="00D33639">
              <w:rPr>
                <w:sz w:val="20"/>
                <w:szCs w:val="20"/>
                <w:lang w:val="en-AU"/>
              </w:rPr>
              <w:t>Schedule 3</w:t>
            </w:r>
            <w:r w:rsidR="008133EF">
              <w:rPr>
                <w:sz w:val="20"/>
                <w:szCs w:val="20"/>
                <w:lang w:val="en-AU"/>
              </w:rPr>
              <w:t>, Part 2, 2.1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pStyle w:val="BodyText"/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510CC9" w:rsidRPr="00552ACF" w:rsidRDefault="00510CC9" w:rsidP="00510CC9">
            <w:pPr>
              <w:adjustRightInd w:val="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(a) </w:t>
            </w:r>
            <w:r w:rsidR="009A39FE" w:rsidRPr="00552ACF">
              <w:rPr>
                <w:sz w:val="18"/>
                <w:szCs w:val="18"/>
                <w:lang w:eastAsia="en-AU"/>
              </w:rPr>
              <w:t xml:space="preserve"> </w:t>
            </w:r>
            <w:r w:rsidRPr="00552ACF">
              <w:rPr>
                <w:sz w:val="18"/>
                <w:szCs w:val="18"/>
                <w:lang w:eastAsia="en-AU"/>
              </w:rPr>
              <w:t>A dealing involving whole animals (including non-vertebrates) that:</w:t>
            </w:r>
          </w:p>
          <w:p w:rsidR="00510CC9" w:rsidRPr="00552ACF" w:rsidRDefault="00510CC9" w:rsidP="00CD3C0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involves genetic modification of the genome of the oocyte or zygote or early embryo by any means to produce a novel whole organism; and</w:t>
            </w:r>
          </w:p>
          <w:p w:rsidR="00510CC9" w:rsidRPr="00552ACF" w:rsidRDefault="00510CC9" w:rsidP="00510CC9">
            <w:pPr>
              <w:adjustRightInd w:val="0"/>
              <w:ind w:left="567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does not involve any of the following:</w:t>
            </w:r>
          </w:p>
          <w:p w:rsidR="00510CC9" w:rsidRPr="00552ACF" w:rsidRDefault="00510CC9" w:rsidP="00510CC9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a genetically modified laboratory guinea pig;</w:t>
            </w:r>
          </w:p>
          <w:p w:rsidR="00510CC9" w:rsidRPr="00552ACF" w:rsidRDefault="00510CC9" w:rsidP="00510CC9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a genetically modified laboratory mouse;</w:t>
            </w:r>
          </w:p>
          <w:p w:rsidR="00510CC9" w:rsidRPr="00552ACF" w:rsidRDefault="00510CC9" w:rsidP="00510CC9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(C) a genetically modified laboratory rabbit;</w:t>
            </w:r>
          </w:p>
          <w:p w:rsidR="00510CC9" w:rsidRPr="00552ACF" w:rsidRDefault="00510CC9" w:rsidP="00510CC9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(D) a genetically modified laboratory rat;</w:t>
            </w:r>
          </w:p>
          <w:p w:rsidR="007D5465" w:rsidRPr="00552ACF" w:rsidRDefault="00510CC9" w:rsidP="00510CC9">
            <w:pPr>
              <w:adjustRightInd w:val="0"/>
              <w:ind w:left="1134" w:firstLine="567"/>
              <w:rPr>
                <w:sz w:val="18"/>
                <w:szCs w:val="18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(E) a genetically modified </w:t>
            </w:r>
            <w:r w:rsidRPr="00552ACF">
              <w:rPr>
                <w:i/>
                <w:iCs/>
                <w:sz w:val="18"/>
                <w:szCs w:val="18"/>
                <w:lang w:eastAsia="en-AU"/>
              </w:rPr>
              <w:t>Caenorhabditis elegans</w:t>
            </w:r>
            <w:r w:rsidRPr="00552ACF">
              <w:rPr>
                <w:sz w:val="18"/>
                <w:szCs w:val="18"/>
                <w:lang w:eastAsia="en-AU"/>
              </w:rPr>
              <w:t>;</w:t>
            </w:r>
          </w:p>
        </w:tc>
      </w:tr>
      <w:tr w:rsidR="007D5465" w:rsidRPr="00CD3C0E" w:rsidTr="009E0041">
        <w:trPr>
          <w:trHeight w:val="942"/>
        </w:trPr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510CC9" w:rsidRPr="00552ACF" w:rsidRDefault="009A39FE" w:rsidP="00510CC9">
            <w:pPr>
              <w:adjustRightInd w:val="0"/>
              <w:ind w:left="567" w:hanging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(aa) </w:t>
            </w:r>
            <w:r w:rsidR="00510CC9" w:rsidRPr="00552ACF">
              <w:rPr>
                <w:sz w:val="18"/>
                <w:szCs w:val="18"/>
                <w:lang w:eastAsia="en-AU"/>
              </w:rPr>
              <w:t xml:space="preserve">A dealing involving a genetically modified laboratory guinea pig, a genetically modified mouse, a genetically modified laboratory rabbit, a genetically modified laboratory rat, or a genetically modified </w:t>
            </w:r>
            <w:r w:rsidR="00510CC9" w:rsidRPr="00552ACF">
              <w:rPr>
                <w:i/>
                <w:iCs/>
                <w:sz w:val="18"/>
                <w:szCs w:val="18"/>
                <w:lang w:eastAsia="en-AU"/>
              </w:rPr>
              <w:t>Caenorhabditis elegans</w:t>
            </w:r>
            <w:r w:rsidR="00510CC9" w:rsidRPr="00552ACF">
              <w:rPr>
                <w:sz w:val="18"/>
                <w:szCs w:val="18"/>
                <w:lang w:eastAsia="en-AU"/>
              </w:rPr>
              <w:t xml:space="preserve"> if:</w:t>
            </w:r>
          </w:p>
          <w:p w:rsidR="00510CC9" w:rsidRPr="00552ACF" w:rsidRDefault="00510CC9" w:rsidP="00510CC9">
            <w:pPr>
              <w:adjustRightInd w:val="0"/>
              <w:ind w:left="567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(i) the genetic modification confers an advantage on the animal; and </w:t>
            </w:r>
          </w:p>
          <w:p w:rsidR="007D5465" w:rsidRPr="00552ACF" w:rsidRDefault="00510CC9" w:rsidP="0011380C">
            <w:pPr>
              <w:adjustRightInd w:val="0"/>
              <w:ind w:left="1418" w:hanging="28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the animal is not capable of secreting or producing an infectious agent as a result of the genetic modification;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7D5465" w:rsidRPr="00552ACF" w:rsidRDefault="009A39FE" w:rsidP="00510CC9">
            <w:pPr>
              <w:adjustRightInd w:val="0"/>
              <w:ind w:left="567" w:hanging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(b)  </w:t>
            </w:r>
            <w:r w:rsidR="007D5465" w:rsidRPr="00552ACF">
              <w:rPr>
                <w:sz w:val="18"/>
                <w:szCs w:val="18"/>
                <w:lang w:eastAsia="en-AU"/>
              </w:rPr>
              <w:t>A dealing involving a genetically modified plant;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510CC9" w:rsidRPr="00552ACF" w:rsidRDefault="008257F4" w:rsidP="009A39FE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(c) </w:t>
            </w:r>
            <w:r w:rsidR="009A39FE" w:rsidRPr="00552ACF">
              <w:rPr>
                <w:sz w:val="18"/>
                <w:szCs w:val="18"/>
                <w:lang w:eastAsia="en-AU"/>
              </w:rPr>
              <w:t xml:space="preserve"> </w:t>
            </w:r>
            <w:r w:rsidRPr="00552ACF">
              <w:rPr>
                <w:sz w:val="18"/>
                <w:szCs w:val="18"/>
                <w:lang w:eastAsia="en-AU"/>
              </w:rPr>
              <w:t>A</w:t>
            </w:r>
            <w:r w:rsidR="00510CC9" w:rsidRPr="00552ACF">
              <w:rPr>
                <w:sz w:val="18"/>
                <w:szCs w:val="18"/>
                <w:lang w:eastAsia="en-AU"/>
              </w:rPr>
              <w:t xml:space="preserve"> dealing involving a host/vector system not mentioned in paragraph 1.1 (c) or Part 2 </w:t>
            </w:r>
            <w:r w:rsidR="009A39FE" w:rsidRPr="00552ACF">
              <w:rPr>
                <w:sz w:val="18"/>
                <w:szCs w:val="18"/>
                <w:lang w:eastAsia="en-AU"/>
              </w:rPr>
              <w:t xml:space="preserve">of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CC9" w:rsidRPr="00552ACF">
              <w:rPr>
                <w:sz w:val="18"/>
                <w:szCs w:val="18"/>
                <w:lang w:eastAsia="en-AU"/>
              </w:rPr>
              <w:t>Schedule 2, if neither host nor vector has been implicated in,</w:t>
            </w:r>
            <w:r w:rsidR="00A269A0" w:rsidRPr="00552ACF">
              <w:rPr>
                <w:sz w:val="18"/>
                <w:szCs w:val="18"/>
                <w:lang w:eastAsia="en-AU"/>
              </w:rPr>
              <w:t xml:space="preserve"> or has a history of causing,  </w:t>
            </w:r>
            <w:r w:rsidR="00510CC9" w:rsidRPr="00552ACF">
              <w:rPr>
                <w:sz w:val="18"/>
                <w:szCs w:val="18"/>
                <w:lang w:eastAsia="en-AU"/>
              </w:rPr>
              <w:t>disease in otherwise healthy:</w:t>
            </w:r>
          </w:p>
          <w:p w:rsidR="00510CC9" w:rsidRPr="00552ACF" w:rsidRDefault="00510CC9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human beings; or</w:t>
            </w:r>
          </w:p>
          <w:p w:rsidR="00510CC9" w:rsidRPr="00552ACF" w:rsidRDefault="00510CC9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animals; or</w:t>
            </w:r>
          </w:p>
          <w:p w:rsidR="00510CC9" w:rsidRPr="00552ACF" w:rsidRDefault="00510CC9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(iii) plants; or</w:t>
            </w:r>
          </w:p>
          <w:p w:rsidR="007D5465" w:rsidRPr="00552ACF" w:rsidRDefault="00510CC9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(iv) fungi;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9A39FE" w:rsidP="009A39FE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(d)  </w:t>
            </w:r>
            <w:r w:rsidR="008257F4" w:rsidRPr="00552ACF">
              <w:rPr>
                <w:sz w:val="18"/>
                <w:szCs w:val="18"/>
                <w:lang w:eastAsia="en-AU"/>
              </w:rPr>
              <w:t>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a host and vector not mentioned as a h</w:t>
            </w:r>
            <w:r w:rsidRPr="00552ACF">
              <w:rPr>
                <w:sz w:val="18"/>
                <w:szCs w:val="18"/>
                <w:lang w:eastAsia="en-AU"/>
              </w:rPr>
              <w:t xml:space="preserve">ost/vector system in Part 2 of </w:t>
            </w:r>
            <w:r w:rsidR="009E0041" w:rsidRPr="00552ACF">
              <w:rPr>
                <w:sz w:val="18"/>
                <w:szCs w:val="18"/>
                <w:lang w:eastAsia="en-AU"/>
              </w:rPr>
              <w:t>Schedule 2, if:</w:t>
            </w:r>
          </w:p>
          <w:p w:rsidR="009E0041" w:rsidRPr="00552ACF" w:rsidRDefault="009E0041" w:rsidP="00BA4A3B">
            <w:pPr>
              <w:adjustRightInd w:val="0"/>
              <w:ind w:left="1418" w:hanging="28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the host or vector has been implicated in, or has a h</w:t>
            </w:r>
            <w:r w:rsidR="00BA4A3B" w:rsidRPr="00552ACF">
              <w:rPr>
                <w:sz w:val="18"/>
                <w:szCs w:val="18"/>
                <w:lang w:eastAsia="en-AU"/>
              </w:rPr>
              <w:t xml:space="preserve">istory of causing, disease in </w:t>
            </w:r>
            <w:r w:rsidRPr="00552ACF">
              <w:rPr>
                <w:sz w:val="18"/>
                <w:szCs w:val="18"/>
                <w:lang w:eastAsia="en-AU"/>
              </w:rPr>
              <w:t>otherwise healthy:</w:t>
            </w:r>
          </w:p>
          <w:p w:rsidR="009E0041" w:rsidRPr="00552ACF" w:rsidRDefault="009E0041" w:rsidP="00BA4A3B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human beings; or</w:t>
            </w:r>
          </w:p>
          <w:p w:rsidR="009E0041" w:rsidRPr="00552ACF" w:rsidRDefault="009E0041" w:rsidP="009E0041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animals; or</w:t>
            </w:r>
          </w:p>
          <w:p w:rsidR="009E0041" w:rsidRPr="00552ACF" w:rsidRDefault="009E0041" w:rsidP="009E0041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(C) plants; or</w:t>
            </w:r>
          </w:p>
          <w:p w:rsidR="009E0041" w:rsidRPr="00552ACF" w:rsidRDefault="009E0041" w:rsidP="009E0041">
            <w:pPr>
              <w:adjustRightInd w:val="0"/>
              <w:ind w:left="1134" w:firstLine="567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(D) fungi; and</w:t>
            </w:r>
          </w:p>
          <w:p w:rsidR="009E0041" w:rsidRPr="00552ACF" w:rsidRDefault="009E0041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the donor nucleic acid is characterised; and</w:t>
            </w:r>
          </w:p>
          <w:p w:rsidR="007D5465" w:rsidRPr="00552ACF" w:rsidRDefault="009E0041" w:rsidP="00BA4A3B">
            <w:pPr>
              <w:adjustRightInd w:val="0"/>
              <w:ind w:left="1474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(iii) the characterisation of the donor nucleic acid shows that i</w:t>
            </w:r>
            <w:r w:rsidR="008257F4" w:rsidRPr="00552ACF">
              <w:rPr>
                <w:sz w:val="18"/>
                <w:szCs w:val="18"/>
                <w:lang w:eastAsia="en-AU"/>
              </w:rPr>
              <w:t xml:space="preserve">t is unlikely to increase  the </w:t>
            </w:r>
            <w:r w:rsidRPr="00552ACF">
              <w:rPr>
                <w:sz w:val="18"/>
                <w:szCs w:val="18"/>
                <w:lang w:eastAsia="en-AU"/>
              </w:rPr>
              <w:t>capacity of the host or vector to cause harm;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9A39FE" w:rsidP="009A39FE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(e)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a host/vector system mentioned in Part</w:t>
            </w:r>
            <w:r w:rsidRPr="00552ACF">
              <w:rPr>
                <w:sz w:val="18"/>
                <w:szCs w:val="18"/>
                <w:lang w:eastAsia="en-AU"/>
              </w:rPr>
              <w:t xml:space="preserve"> 2 of Schedule 2, if the donor </w:t>
            </w:r>
            <w:r w:rsidR="009E0041" w:rsidRPr="00552ACF">
              <w:rPr>
                <w:sz w:val="18"/>
                <w:szCs w:val="18"/>
                <w:lang w:eastAsia="en-AU"/>
              </w:rPr>
              <w:t>nucleic acid:</w:t>
            </w:r>
          </w:p>
          <w:p w:rsidR="009E0041" w:rsidRPr="00552ACF" w:rsidRDefault="009E0041" w:rsidP="009A39FE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encodes a pathogenic determinant; or</w:t>
            </w:r>
          </w:p>
          <w:p w:rsidR="009E0041" w:rsidRPr="00552ACF" w:rsidRDefault="009E0041" w:rsidP="00BA4A3B">
            <w:pPr>
              <w:adjustRightInd w:val="0"/>
              <w:ind w:left="1474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is uncharacterised nucleic acid from an organism that has</w:t>
            </w:r>
            <w:r w:rsidR="007E06E8" w:rsidRPr="00552ACF">
              <w:rPr>
                <w:sz w:val="18"/>
                <w:szCs w:val="18"/>
                <w:lang w:eastAsia="en-AU"/>
              </w:rPr>
              <w:t xml:space="preserve"> been implicated in, or has a </w:t>
            </w:r>
            <w:r w:rsidRPr="00552ACF">
              <w:rPr>
                <w:sz w:val="18"/>
                <w:szCs w:val="18"/>
                <w:lang w:eastAsia="en-AU"/>
              </w:rPr>
              <w:t>history of causing, disease in otherwise healthy:</w:t>
            </w:r>
          </w:p>
          <w:p w:rsidR="009E0041" w:rsidRPr="00552ACF" w:rsidRDefault="009E0041" w:rsidP="00BA4A3B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human beings; or</w:t>
            </w:r>
          </w:p>
          <w:p w:rsidR="009E0041" w:rsidRPr="00552ACF" w:rsidRDefault="009E0041" w:rsidP="00BA4A3B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animals; or</w:t>
            </w:r>
          </w:p>
          <w:p w:rsidR="009E0041" w:rsidRPr="00552ACF" w:rsidRDefault="009E0041" w:rsidP="00BA4A3B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(C) plants; or</w:t>
            </w:r>
          </w:p>
          <w:p w:rsidR="007D5465" w:rsidRPr="00552ACF" w:rsidRDefault="009E0041" w:rsidP="00BA4A3B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(D) fungi;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9A39FE" w:rsidP="009A39FE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(f)   </w:t>
            </w:r>
            <w:r w:rsidR="009E0041" w:rsidRPr="00552ACF">
              <w:rPr>
                <w:caps/>
                <w:sz w:val="18"/>
                <w:szCs w:val="18"/>
                <w:lang w:eastAsia="en-AU"/>
              </w:rPr>
              <w:t>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a host/vector system mentioned in Part</w:t>
            </w:r>
            <w:r w:rsidRPr="00552ACF">
              <w:rPr>
                <w:sz w:val="18"/>
                <w:szCs w:val="18"/>
                <w:lang w:eastAsia="en-AU"/>
              </w:rPr>
              <w:t xml:space="preserve"> 2 of Schedule 2 and producing </w:t>
            </w:r>
            <w:r w:rsidR="009E0041" w:rsidRPr="00552ACF">
              <w:rPr>
                <w:sz w:val="18"/>
                <w:szCs w:val="18"/>
                <w:lang w:eastAsia="en-AU"/>
              </w:rPr>
              <w:t>more than 25 litres of GMO culture in each vessel containing the resultant culture, if:</w:t>
            </w:r>
          </w:p>
          <w:p w:rsidR="009E0041" w:rsidRPr="00552ACF" w:rsidRDefault="009E0041" w:rsidP="00E8667C">
            <w:pPr>
              <w:adjustRightInd w:val="0"/>
              <w:ind w:left="1418" w:hanging="28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the dealing is undertaken in a facility that is certified by t</w:t>
            </w:r>
            <w:r w:rsidR="00E8667C" w:rsidRPr="00552ACF">
              <w:rPr>
                <w:sz w:val="18"/>
                <w:szCs w:val="18"/>
                <w:lang w:eastAsia="en-AU"/>
              </w:rPr>
              <w:t xml:space="preserve">he Regulator as a large scale </w:t>
            </w:r>
            <w:r w:rsidRPr="00552ACF">
              <w:rPr>
                <w:sz w:val="18"/>
                <w:szCs w:val="18"/>
                <w:lang w:eastAsia="en-AU"/>
              </w:rPr>
              <w:t>facility; and</w:t>
            </w:r>
          </w:p>
          <w:p w:rsidR="007D5465" w:rsidRPr="00552ACF" w:rsidRDefault="009E0041" w:rsidP="00E8667C">
            <w:pPr>
              <w:adjustRightInd w:val="0"/>
              <w:ind w:left="1446" w:hanging="312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the donor nucleic acid satisfies the conditions set out i</w:t>
            </w:r>
            <w:r w:rsidR="00337B1C" w:rsidRPr="00552ACF">
              <w:rPr>
                <w:sz w:val="18"/>
                <w:szCs w:val="18"/>
                <w:lang w:eastAsia="en-AU"/>
              </w:rPr>
              <w:t xml:space="preserve">n subitem 4 (2) of Part 1 of </w:t>
            </w:r>
            <w:r w:rsidRPr="00552ACF">
              <w:rPr>
                <w:sz w:val="18"/>
                <w:szCs w:val="18"/>
                <w:lang w:eastAsia="en-AU"/>
              </w:rPr>
              <w:t>Schedule 2</w:t>
            </w:r>
            <w:r w:rsidR="00E8667C" w:rsidRPr="00552ACF">
              <w:rPr>
                <w:sz w:val="18"/>
                <w:szCs w:val="18"/>
                <w:lang w:eastAsia="en-AU"/>
              </w:rPr>
              <w:t>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7D5465" w:rsidRPr="00552ACF" w:rsidRDefault="009A39FE" w:rsidP="009A39FE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(g)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complementation of knocked-out genes, if t</w:t>
            </w:r>
            <w:r w:rsidRPr="00552ACF">
              <w:rPr>
                <w:sz w:val="18"/>
                <w:szCs w:val="18"/>
                <w:lang w:eastAsia="en-AU"/>
              </w:rPr>
              <w:t xml:space="preserve">he complementation is unlikely </w:t>
            </w:r>
            <w:r w:rsidR="00337B1C" w:rsidRPr="00552ACF">
              <w:rPr>
                <w:sz w:val="18"/>
                <w:szCs w:val="18"/>
                <w:lang w:eastAsia="en-AU"/>
              </w:rPr>
              <w:t xml:space="preserve"> </w:t>
            </w:r>
            <w:r w:rsidR="009E0041" w:rsidRPr="00552ACF">
              <w:rPr>
                <w:sz w:val="18"/>
                <w:szCs w:val="18"/>
                <w:lang w:eastAsia="en-AU"/>
              </w:rPr>
              <w:t>to increase the capacity of the GMO to cause harm compared</w:t>
            </w:r>
            <w:r w:rsidRPr="00552ACF">
              <w:rPr>
                <w:sz w:val="18"/>
                <w:szCs w:val="18"/>
                <w:lang w:eastAsia="en-AU"/>
              </w:rPr>
              <w:t xml:space="preserve"> to the capacity of the parent </w:t>
            </w:r>
            <w:r w:rsidR="009E0041" w:rsidRPr="00552ACF">
              <w:rPr>
                <w:sz w:val="18"/>
                <w:szCs w:val="18"/>
                <w:lang w:eastAsia="en-AU"/>
              </w:rPr>
              <w:t>organism before the genes were knocked out;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337B1C" w:rsidP="00337B1C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(h)  </w:t>
            </w:r>
            <w:r w:rsidR="009A39FE" w:rsidRPr="00552ACF">
              <w:rPr>
                <w:sz w:val="18"/>
                <w:szCs w:val="18"/>
                <w:lang w:eastAsia="en-AU"/>
              </w:rPr>
              <w:t>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shot-gun cloning, or the preparation of a</w:t>
            </w:r>
            <w:r w:rsidRPr="00552ACF">
              <w:rPr>
                <w:sz w:val="18"/>
                <w:szCs w:val="18"/>
                <w:lang w:eastAsia="en-AU"/>
              </w:rPr>
              <w:t xml:space="preserve"> cDNA library, in a host/vector </w:t>
            </w:r>
            <w:r w:rsidR="009E0041" w:rsidRPr="00552ACF">
              <w:rPr>
                <w:sz w:val="18"/>
                <w:szCs w:val="18"/>
                <w:lang w:eastAsia="en-AU"/>
              </w:rPr>
              <w:t>system mentioned in item 1 of Part 2 of Schedule 2, if the donor nucleic acid is derived from either:</w:t>
            </w:r>
          </w:p>
          <w:p w:rsidR="009E0041" w:rsidRPr="00552ACF" w:rsidRDefault="009E0041" w:rsidP="00337B1C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a pathogen; or</w:t>
            </w:r>
          </w:p>
          <w:p w:rsidR="007D5465" w:rsidRPr="00552ACF" w:rsidRDefault="009E0041" w:rsidP="00337B1C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a toxin-producing organism</w:t>
            </w:r>
            <w:r w:rsidR="00752D79" w:rsidRPr="00552ACF">
              <w:rPr>
                <w:sz w:val="18"/>
                <w:szCs w:val="18"/>
                <w:lang w:eastAsia="en-AU"/>
              </w:rPr>
              <w:t>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7D5465" w:rsidRPr="00552ACF" w:rsidRDefault="00337B1C" w:rsidP="00337B1C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the introduction of a replication defective vi</w:t>
            </w:r>
            <w:r w:rsidRPr="00552ACF">
              <w:rPr>
                <w:sz w:val="18"/>
                <w:szCs w:val="18"/>
                <w:lang w:eastAsia="en-AU"/>
              </w:rPr>
              <w:t xml:space="preserve">ral vector unable to transduce </w:t>
            </w:r>
            <w:r w:rsidR="009E0041" w:rsidRPr="00552ACF">
              <w:rPr>
                <w:sz w:val="18"/>
                <w:szCs w:val="18"/>
                <w:lang w:eastAsia="en-AU"/>
              </w:rPr>
              <w:t>human cells into a host not mentioned in Part 2 of Schedule 2, if</w:t>
            </w:r>
            <w:r w:rsidRPr="00552ACF">
              <w:rPr>
                <w:sz w:val="18"/>
                <w:szCs w:val="18"/>
                <w:lang w:eastAsia="en-AU"/>
              </w:rPr>
              <w:t xml:space="preserve"> the donor nucleic acid cannot </w:t>
            </w:r>
            <w:r w:rsidR="009E0041" w:rsidRPr="00552ACF">
              <w:rPr>
                <w:sz w:val="18"/>
                <w:szCs w:val="18"/>
                <w:lang w:eastAsia="en-AU"/>
              </w:rPr>
              <w:t>restore replication competence to the vector;</w:t>
            </w:r>
          </w:p>
        </w:tc>
      </w:tr>
      <w:tr w:rsidR="007D5465" w:rsidRPr="00CD3C0E" w:rsidTr="009E0041">
        <w:tc>
          <w:tcPr>
            <w:tcW w:w="851" w:type="dxa"/>
          </w:tcPr>
          <w:p w:rsidR="007D5465" w:rsidRPr="00CD3C0E" w:rsidRDefault="007D5465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7D5465" w:rsidRPr="00552ACF" w:rsidRDefault="00337B1C" w:rsidP="00337B1C">
            <w:pPr>
              <w:adjustRightInd w:val="0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(j)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the introduction of a replication defective</w:t>
            </w:r>
            <w:r w:rsidRPr="00552ACF">
              <w:rPr>
                <w:sz w:val="18"/>
                <w:szCs w:val="18"/>
                <w:lang w:eastAsia="en-AU"/>
              </w:rPr>
              <w:t xml:space="preserve"> non-retroviral vector able to </w:t>
            </w:r>
            <w:r w:rsidR="009E0041" w:rsidRPr="00552ACF">
              <w:rPr>
                <w:sz w:val="18"/>
                <w:szCs w:val="18"/>
                <w:lang w:eastAsia="en-AU"/>
              </w:rPr>
              <w:t>transduce human cells, other than a dealing mentioned in p</w:t>
            </w:r>
            <w:r w:rsidRPr="00552ACF">
              <w:rPr>
                <w:sz w:val="18"/>
                <w:szCs w:val="18"/>
                <w:lang w:eastAsia="en-AU"/>
              </w:rPr>
              <w:t xml:space="preserve">aragraph 1.1 (c), into a host  </w:t>
            </w:r>
            <w:r w:rsidR="009E0041" w:rsidRPr="00552ACF">
              <w:rPr>
                <w:sz w:val="18"/>
                <w:szCs w:val="18"/>
                <w:lang w:eastAsia="en-AU"/>
              </w:rPr>
              <w:t>mentioned in Part 2 of Schedule 2, if the donor nucleic acid cannot restore replication  competence to the vector;</w:t>
            </w:r>
          </w:p>
        </w:tc>
      </w:tr>
      <w:tr w:rsidR="009E0041" w:rsidRPr="00CD3C0E" w:rsidTr="009E0041">
        <w:tc>
          <w:tcPr>
            <w:tcW w:w="851" w:type="dxa"/>
          </w:tcPr>
          <w:p w:rsidR="009E0041" w:rsidRPr="00CD3C0E" w:rsidRDefault="009E0041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337B1C" w:rsidP="00337B1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(k)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the introduction of a replication defective </w:t>
            </w:r>
            <w:r w:rsidRPr="00552ACF">
              <w:rPr>
                <w:sz w:val="18"/>
                <w:szCs w:val="18"/>
                <w:lang w:eastAsia="en-AU"/>
              </w:rPr>
              <w:t xml:space="preserve">non-retroviral vector able to  </w:t>
            </w:r>
            <w:r w:rsidR="009E0041" w:rsidRPr="00552ACF">
              <w:rPr>
                <w:sz w:val="18"/>
                <w:szCs w:val="18"/>
                <w:lang w:eastAsia="en-AU"/>
              </w:rPr>
              <w:t>transduce human cells into a host not mentioned in Part 2 of Schedule 2, if:</w:t>
            </w:r>
          </w:p>
          <w:p w:rsidR="009E0041" w:rsidRPr="00552ACF" w:rsidRDefault="009E0041" w:rsidP="00337B1C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the donor nucleic acid cannot restore replication competence to the vector; and</w:t>
            </w:r>
          </w:p>
          <w:p w:rsidR="009E0041" w:rsidRPr="00552ACF" w:rsidRDefault="009E0041" w:rsidP="00337B1C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the donor nucleic acid does not:</w:t>
            </w:r>
          </w:p>
          <w:p w:rsidR="009E0041" w:rsidRPr="00552ACF" w:rsidRDefault="009E0041" w:rsidP="00945E7F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confer an oncogenic modification in humans; or</w:t>
            </w:r>
          </w:p>
          <w:p w:rsidR="009E0041" w:rsidRPr="00552ACF" w:rsidRDefault="009E0041" w:rsidP="00945E7F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encode a protein with immunomodulatory activity in humans;</w:t>
            </w:r>
          </w:p>
        </w:tc>
      </w:tr>
      <w:tr w:rsidR="009E0041" w:rsidRPr="00CD3C0E" w:rsidTr="009E0041">
        <w:tc>
          <w:tcPr>
            <w:tcW w:w="851" w:type="dxa"/>
          </w:tcPr>
          <w:p w:rsidR="009E0041" w:rsidRPr="00CD3C0E" w:rsidRDefault="009E0041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22325A" w:rsidP="0022325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(l) 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the introduction of a replication defective retro</w:t>
            </w:r>
            <w:r w:rsidR="00BD75C7" w:rsidRPr="00552ACF">
              <w:rPr>
                <w:sz w:val="18"/>
                <w:szCs w:val="18"/>
                <w:lang w:eastAsia="en-AU"/>
              </w:rPr>
              <w:t xml:space="preserve">viral vector able to transduce </w:t>
            </w:r>
            <w:r w:rsidR="009E0041" w:rsidRPr="00552ACF">
              <w:rPr>
                <w:sz w:val="18"/>
                <w:szCs w:val="18"/>
                <w:lang w:eastAsia="en-AU"/>
              </w:rPr>
              <w:t>human cells into a host mentioned in Part 2 of Schedule 2, if:</w:t>
            </w:r>
          </w:p>
          <w:p w:rsidR="009E0041" w:rsidRPr="00552ACF" w:rsidRDefault="009E0041" w:rsidP="00BD75C7">
            <w:pPr>
              <w:adjustRightInd w:val="0"/>
              <w:ind w:left="1446" w:hanging="312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all viral genes have been removed from the retroviral vector so th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at it cannot replicate </w:t>
            </w:r>
            <w:r w:rsidRPr="00552ACF">
              <w:rPr>
                <w:sz w:val="18"/>
                <w:szCs w:val="18"/>
                <w:lang w:eastAsia="en-AU"/>
              </w:rPr>
              <w:t xml:space="preserve">or assemble into a virion without these functions being supplied </w:t>
            </w:r>
            <w:r w:rsidRPr="00552ACF">
              <w:rPr>
                <w:i/>
                <w:sz w:val="18"/>
                <w:szCs w:val="18"/>
                <w:lang w:eastAsia="en-AU"/>
              </w:rPr>
              <w:t>in trans</w:t>
            </w:r>
            <w:r w:rsidRPr="00552ACF">
              <w:rPr>
                <w:sz w:val="18"/>
                <w:szCs w:val="18"/>
                <w:lang w:eastAsia="en-AU"/>
              </w:rPr>
              <w:t>; and</w:t>
            </w:r>
          </w:p>
          <w:p w:rsidR="009E0041" w:rsidRPr="00552ACF" w:rsidRDefault="009E0041" w:rsidP="00BD75C7">
            <w:pPr>
              <w:adjustRightInd w:val="0"/>
              <w:ind w:left="1446" w:hanging="312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viral genes needed for virion production in the packaging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 cell line are expressed from </w:t>
            </w:r>
            <w:r w:rsidRPr="00552ACF">
              <w:rPr>
                <w:sz w:val="18"/>
                <w:szCs w:val="18"/>
                <w:lang w:eastAsia="en-AU"/>
              </w:rPr>
              <w:t>independent, unlinked loci with minimal sequence overlap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 with the vector to limit or </w:t>
            </w:r>
            <w:r w:rsidRPr="00552ACF">
              <w:rPr>
                <w:sz w:val="18"/>
                <w:szCs w:val="18"/>
                <w:lang w:eastAsia="en-AU"/>
              </w:rPr>
              <w:t>prevent recombination; and</w:t>
            </w:r>
          </w:p>
          <w:p w:rsidR="009E0041" w:rsidRPr="00552ACF" w:rsidRDefault="009E0041" w:rsidP="0022325A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(iii) either:</w:t>
            </w:r>
          </w:p>
          <w:p w:rsidR="009E0041" w:rsidRPr="00552ACF" w:rsidRDefault="009E0041" w:rsidP="00945E7F">
            <w:pPr>
              <w:adjustRightInd w:val="0"/>
              <w:ind w:left="2041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the retroviral vector includes a deletion in the L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ong Terminal Repeat </w:t>
            </w:r>
            <w:r w:rsidR="00BD75C7" w:rsidRPr="00552ACF">
              <w:rPr>
                <w:sz w:val="18"/>
                <w:szCs w:val="18"/>
                <w:lang w:eastAsia="en-AU"/>
              </w:rPr>
              <w:t xml:space="preserve"> 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sequence </w:t>
            </w:r>
            <w:r w:rsidRPr="00552ACF">
              <w:rPr>
                <w:sz w:val="18"/>
                <w:szCs w:val="18"/>
                <w:lang w:eastAsia="en-AU"/>
              </w:rPr>
              <w:t>of DNA that prevents transcription of genomic RNA fol</w:t>
            </w:r>
            <w:r w:rsidR="0022325A" w:rsidRPr="00552ACF">
              <w:rPr>
                <w:sz w:val="18"/>
                <w:szCs w:val="18"/>
                <w:lang w:eastAsia="en-AU"/>
              </w:rPr>
              <w:t xml:space="preserve">lowing integration into the  </w:t>
            </w:r>
            <w:r w:rsidRPr="00552ACF">
              <w:rPr>
                <w:sz w:val="18"/>
                <w:szCs w:val="18"/>
                <w:lang w:eastAsia="en-AU"/>
              </w:rPr>
              <w:t>host cell DNA; or</w:t>
            </w:r>
          </w:p>
          <w:p w:rsidR="009E0041" w:rsidRPr="00552ACF" w:rsidRDefault="009E0041" w:rsidP="00945E7F">
            <w:pPr>
              <w:adjustRightInd w:val="0"/>
              <w:ind w:left="2041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the packaging cell line and packaging plasmid</w:t>
            </w:r>
            <w:r w:rsidR="0022325A" w:rsidRPr="00552ACF">
              <w:rPr>
                <w:sz w:val="18"/>
                <w:szCs w:val="18"/>
                <w:lang w:eastAsia="en-AU"/>
              </w:rPr>
              <w:t>s exp</w:t>
            </w:r>
            <w:r w:rsidR="00BD75C7" w:rsidRPr="00552ACF">
              <w:rPr>
                <w:sz w:val="18"/>
                <w:szCs w:val="18"/>
                <w:lang w:eastAsia="en-AU"/>
              </w:rPr>
              <w:t xml:space="preserve">ress only viral genes  </w:t>
            </w:r>
            <w:r w:rsidRPr="00552ACF">
              <w:rPr>
                <w:i/>
                <w:sz w:val="18"/>
                <w:szCs w:val="18"/>
                <w:lang w:eastAsia="en-AU"/>
              </w:rPr>
              <w:t>gagpol</w:t>
            </w:r>
            <w:r w:rsidRPr="00552ACF">
              <w:rPr>
                <w:sz w:val="18"/>
                <w:szCs w:val="18"/>
                <w:lang w:eastAsia="en-AU"/>
              </w:rPr>
              <w:t>, rev and an envelope protein gene, or a subset of these;</w:t>
            </w:r>
          </w:p>
        </w:tc>
      </w:tr>
      <w:tr w:rsidR="009E0041" w:rsidRPr="00CD3C0E" w:rsidTr="009E0041">
        <w:tc>
          <w:tcPr>
            <w:tcW w:w="851" w:type="dxa"/>
          </w:tcPr>
          <w:p w:rsidR="009E0041" w:rsidRPr="00CD3C0E" w:rsidRDefault="009E0041" w:rsidP="009E0041">
            <w:pPr>
              <w:rPr>
                <w:sz w:val="20"/>
                <w:szCs w:val="20"/>
              </w:rPr>
            </w:pPr>
            <w:r w:rsidRPr="00CD3C0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3C0E">
              <w:rPr>
                <w:sz w:val="20"/>
                <w:szCs w:val="20"/>
              </w:rPr>
              <w:instrText xml:space="preserve"> FORMCHECKBOX </w:instrText>
            </w:r>
            <w:r w:rsidRPr="00CD3C0E">
              <w:rPr>
                <w:sz w:val="20"/>
                <w:szCs w:val="20"/>
              </w:rPr>
            </w:r>
            <w:r w:rsidRPr="00CD3C0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3" w:type="dxa"/>
          </w:tcPr>
          <w:p w:rsidR="009E0041" w:rsidRPr="00552ACF" w:rsidRDefault="00D65186" w:rsidP="00D65186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4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(m) A</w:t>
            </w:r>
            <w:r w:rsidR="009E0041" w:rsidRPr="00552ACF">
              <w:rPr>
                <w:sz w:val="18"/>
                <w:szCs w:val="18"/>
                <w:lang w:eastAsia="en-AU"/>
              </w:rPr>
              <w:t xml:space="preserve"> dealing involving the introduction of a replication defective retroviral</w:t>
            </w:r>
            <w:r w:rsidRPr="00552ACF">
              <w:rPr>
                <w:sz w:val="18"/>
                <w:szCs w:val="18"/>
                <w:lang w:eastAsia="en-AU"/>
              </w:rPr>
              <w:t xml:space="preserve"> vector able to </w:t>
            </w:r>
            <w:r w:rsidR="009E0041" w:rsidRPr="00552ACF">
              <w:rPr>
                <w:sz w:val="18"/>
                <w:szCs w:val="18"/>
                <w:lang w:eastAsia="en-AU"/>
              </w:rPr>
              <w:t>transduce human cells into a host not mentioned in Part 2 of Schedule 2, if:</w:t>
            </w:r>
          </w:p>
          <w:p w:rsidR="009E0041" w:rsidRPr="00552ACF" w:rsidRDefault="009E0041" w:rsidP="00D65186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(i) the donor nucleic acid does not:</w:t>
            </w:r>
          </w:p>
          <w:p w:rsidR="009E0041" w:rsidRPr="00552ACF" w:rsidRDefault="009E0041" w:rsidP="00945E7F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confer an oncogenic modification in humans; or</w:t>
            </w:r>
          </w:p>
          <w:p w:rsidR="009E0041" w:rsidRPr="00552ACF" w:rsidRDefault="009E0041" w:rsidP="00945E7F">
            <w:pPr>
              <w:adjustRightInd w:val="0"/>
              <w:ind w:left="1701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encode a protein with immunomodulatory activity in humans; and</w:t>
            </w:r>
          </w:p>
          <w:p w:rsidR="009E0041" w:rsidRPr="00552ACF" w:rsidRDefault="009E0041" w:rsidP="00D55058">
            <w:pPr>
              <w:adjustRightInd w:val="0"/>
              <w:ind w:left="1446" w:hanging="312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(ii) all viral genes have been removed from the retrovir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al vector so that it cannot </w:t>
            </w:r>
            <w:r w:rsidRPr="00552ACF">
              <w:rPr>
                <w:sz w:val="18"/>
                <w:szCs w:val="18"/>
                <w:lang w:eastAsia="en-AU"/>
              </w:rPr>
              <w:t>replicate or assemble into a virion without these functions being supplied in trans; and</w:t>
            </w:r>
          </w:p>
          <w:p w:rsidR="009E0041" w:rsidRPr="00552ACF" w:rsidRDefault="009E0041" w:rsidP="00D55058">
            <w:pPr>
              <w:adjustRightInd w:val="0"/>
              <w:ind w:left="1446" w:hanging="312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 xml:space="preserve">(iii) viral genes needed for virion production in the packaging cell line 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are expressed </w:t>
            </w:r>
            <w:r w:rsidRPr="00552ACF">
              <w:rPr>
                <w:sz w:val="18"/>
                <w:szCs w:val="18"/>
                <w:lang w:eastAsia="en-AU"/>
              </w:rPr>
              <w:t>from independent, unlinked loci with minimal sequence over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lap with the vector to limit </w:t>
            </w:r>
            <w:r w:rsidRPr="00552ACF">
              <w:rPr>
                <w:sz w:val="18"/>
                <w:szCs w:val="18"/>
                <w:lang w:eastAsia="en-AU"/>
              </w:rPr>
              <w:t>or prevent recombination; and</w:t>
            </w:r>
          </w:p>
          <w:p w:rsidR="009E0041" w:rsidRPr="00552ACF" w:rsidRDefault="009E0041" w:rsidP="00D65186">
            <w:pPr>
              <w:adjustRightInd w:val="0"/>
              <w:ind w:left="1134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(iv) either:</w:t>
            </w:r>
          </w:p>
          <w:p w:rsidR="009E0041" w:rsidRPr="00552ACF" w:rsidRDefault="009E0041" w:rsidP="00072E82">
            <w:pPr>
              <w:adjustRightInd w:val="0"/>
              <w:ind w:left="212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(A) the retroviral vector includes a deletion in the L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ong Terminal Repeat sequence </w:t>
            </w:r>
            <w:r w:rsidRPr="00552ACF">
              <w:rPr>
                <w:sz w:val="18"/>
                <w:szCs w:val="18"/>
                <w:lang w:eastAsia="en-AU"/>
              </w:rPr>
              <w:t>of DNA that prevents transcription of genomic RNA fo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llowing integration into the </w:t>
            </w:r>
            <w:r w:rsidRPr="00552ACF">
              <w:rPr>
                <w:sz w:val="18"/>
                <w:szCs w:val="18"/>
                <w:lang w:eastAsia="en-AU"/>
              </w:rPr>
              <w:t>host cell DNA; or</w:t>
            </w:r>
          </w:p>
          <w:p w:rsidR="009E0041" w:rsidRPr="00552ACF" w:rsidRDefault="009E0041" w:rsidP="00072E82">
            <w:pPr>
              <w:adjustRightInd w:val="0"/>
              <w:ind w:left="2120" w:hanging="340"/>
              <w:rPr>
                <w:sz w:val="18"/>
                <w:szCs w:val="18"/>
                <w:lang w:eastAsia="en-AU"/>
              </w:rPr>
            </w:pPr>
            <w:r w:rsidRPr="00552ACF">
              <w:rPr>
                <w:sz w:val="18"/>
                <w:szCs w:val="18"/>
                <w:lang w:eastAsia="en-AU"/>
              </w:rPr>
              <w:t>(B) the packaging cell line and packaging plasmid</w:t>
            </w:r>
            <w:r w:rsidR="00D65186" w:rsidRPr="00552ACF">
              <w:rPr>
                <w:sz w:val="18"/>
                <w:szCs w:val="18"/>
                <w:lang w:eastAsia="en-AU"/>
              </w:rPr>
              <w:t xml:space="preserve">s express only viral genes </w:t>
            </w:r>
            <w:r w:rsidRPr="00552ACF">
              <w:rPr>
                <w:sz w:val="18"/>
                <w:szCs w:val="18"/>
                <w:lang w:eastAsia="en-AU"/>
              </w:rPr>
              <w:t>g</w:t>
            </w:r>
            <w:r w:rsidRPr="00552ACF">
              <w:rPr>
                <w:i/>
                <w:iCs/>
                <w:sz w:val="18"/>
                <w:szCs w:val="18"/>
                <w:lang w:eastAsia="en-AU"/>
              </w:rPr>
              <w:t>agpol</w:t>
            </w:r>
            <w:r w:rsidRPr="00552ACF">
              <w:rPr>
                <w:sz w:val="18"/>
                <w:szCs w:val="18"/>
                <w:lang w:eastAsia="en-AU"/>
              </w:rPr>
              <w:t xml:space="preserve">, </w:t>
            </w:r>
            <w:r w:rsidRPr="00552ACF">
              <w:rPr>
                <w:iCs/>
                <w:sz w:val="18"/>
                <w:szCs w:val="18"/>
                <w:lang w:eastAsia="en-AU"/>
              </w:rPr>
              <w:t>rev</w:t>
            </w:r>
            <w:r w:rsidRPr="00552ACF">
              <w:rPr>
                <w:i/>
                <w:iCs/>
                <w:sz w:val="18"/>
                <w:szCs w:val="18"/>
                <w:lang w:eastAsia="en-AU"/>
              </w:rPr>
              <w:t xml:space="preserve"> </w:t>
            </w:r>
            <w:r w:rsidRPr="00552ACF">
              <w:rPr>
                <w:sz w:val="18"/>
                <w:szCs w:val="18"/>
                <w:lang w:eastAsia="en-AU"/>
              </w:rPr>
              <w:t>and an envelope protein gene, or a subset of these.</w:t>
            </w:r>
          </w:p>
        </w:tc>
      </w:tr>
    </w:tbl>
    <w:p w:rsidR="007D5465" w:rsidRPr="00CD3C0E" w:rsidRDefault="007D5465" w:rsidP="007D5465">
      <w:pPr>
        <w:rPr>
          <w:sz w:val="20"/>
          <w:szCs w:val="20"/>
        </w:rPr>
      </w:pPr>
    </w:p>
    <w:p w:rsidR="007D5465" w:rsidRPr="0040754F" w:rsidRDefault="007D5465" w:rsidP="007D5465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965"/>
        <w:gridCol w:w="3979"/>
        <w:gridCol w:w="3979"/>
      </w:tblGrid>
      <w:tr w:rsidR="007D5465" w:rsidRPr="0040754F" w:rsidTr="009E0041">
        <w:trPr>
          <w:cantSplit/>
        </w:trPr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t>4</w:t>
            </w:r>
          </w:p>
        </w:tc>
        <w:tc>
          <w:tcPr>
            <w:tcW w:w="9923" w:type="dxa"/>
            <w:gridSpan w:val="3"/>
          </w:tcPr>
          <w:p w:rsidR="007D5465" w:rsidRPr="0040754F" w:rsidRDefault="007D5465" w:rsidP="009E0041">
            <w:pPr>
              <w:pStyle w:val="Questionheading"/>
            </w:pPr>
            <w:r w:rsidRPr="0040754F">
              <w:rPr>
                <w:bCs w:val="0"/>
                <w:szCs w:val="22"/>
                <w:lang w:eastAsia="en-AU"/>
              </w:rPr>
              <w:t xml:space="preserve">Table of GMOs – </w:t>
            </w:r>
            <w:r w:rsidRPr="0040754F">
              <w:rPr>
                <w:b w:val="0"/>
                <w:sz w:val="20"/>
                <w:szCs w:val="20"/>
                <w:lang w:eastAsia="en-AU"/>
              </w:rPr>
              <w:t>list all the GMOs to be generated and or used</w:t>
            </w:r>
          </w:p>
        </w:tc>
      </w:tr>
      <w:tr w:rsidR="007D5465" w:rsidRPr="0040754F" w:rsidTr="009E0041">
        <w:tc>
          <w:tcPr>
            <w:tcW w:w="2816" w:type="dxa"/>
            <w:gridSpan w:val="2"/>
            <w:tcBorders>
              <w:bottom w:val="single" w:sz="8" w:space="0" w:color="auto"/>
            </w:tcBorders>
          </w:tcPr>
          <w:p w:rsidR="007D5465" w:rsidRPr="009838BE" w:rsidRDefault="007D5465" w:rsidP="009E004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en-AU"/>
              </w:rPr>
            </w:pPr>
            <w:r w:rsidRPr="009838BE">
              <w:rPr>
                <w:b/>
                <w:bCs/>
                <w:iCs/>
                <w:sz w:val="20"/>
                <w:szCs w:val="20"/>
                <w:lang w:eastAsia="en-AU"/>
              </w:rPr>
              <w:t>Scientific name of</w:t>
            </w:r>
          </w:p>
          <w:p w:rsidR="007D5465" w:rsidRPr="009838BE" w:rsidRDefault="007D5465" w:rsidP="009E004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en-AU"/>
              </w:rPr>
            </w:pPr>
            <w:r w:rsidRPr="009838BE">
              <w:rPr>
                <w:b/>
                <w:bCs/>
                <w:iCs/>
                <w:sz w:val="20"/>
                <w:szCs w:val="20"/>
                <w:lang w:eastAsia="en-AU"/>
              </w:rPr>
              <w:t>unmodified organism</w:t>
            </w:r>
          </w:p>
        </w:tc>
        <w:tc>
          <w:tcPr>
            <w:tcW w:w="3979" w:type="dxa"/>
            <w:tcBorders>
              <w:bottom w:val="single" w:sz="8" w:space="0" w:color="auto"/>
            </w:tcBorders>
          </w:tcPr>
          <w:p w:rsidR="007D5465" w:rsidRPr="009838BE" w:rsidRDefault="007D5465" w:rsidP="009E004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838BE">
              <w:rPr>
                <w:b/>
                <w:bCs/>
                <w:iCs/>
                <w:sz w:val="20"/>
                <w:szCs w:val="20"/>
                <w:lang w:eastAsia="en-AU"/>
              </w:rPr>
              <w:t>Vectors and method of transfer</w:t>
            </w:r>
          </w:p>
        </w:tc>
        <w:tc>
          <w:tcPr>
            <w:tcW w:w="3979" w:type="dxa"/>
            <w:tcBorders>
              <w:bottom w:val="single" w:sz="8" w:space="0" w:color="auto"/>
            </w:tcBorders>
          </w:tcPr>
          <w:p w:rsidR="007D5465" w:rsidRPr="009838BE" w:rsidRDefault="007D5465" w:rsidP="009E004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Cs/>
                <w:sz w:val="20"/>
                <w:szCs w:val="20"/>
                <w:lang w:eastAsia="en-AU"/>
              </w:rPr>
            </w:pPr>
            <w:r w:rsidRPr="009838BE">
              <w:rPr>
                <w:b/>
                <w:bCs/>
                <w:iCs/>
                <w:sz w:val="20"/>
                <w:szCs w:val="20"/>
                <w:lang w:eastAsia="en-AU"/>
              </w:rPr>
              <w:t>Gene Identity and Species of</w:t>
            </w:r>
          </w:p>
          <w:p w:rsidR="007D5465" w:rsidRPr="009838BE" w:rsidRDefault="007D5465" w:rsidP="009E0041">
            <w:pPr>
              <w:jc w:val="center"/>
              <w:rPr>
                <w:b/>
                <w:bCs/>
                <w:sz w:val="20"/>
                <w:szCs w:val="20"/>
              </w:rPr>
            </w:pPr>
            <w:r w:rsidRPr="009838BE">
              <w:rPr>
                <w:b/>
                <w:bCs/>
                <w:iCs/>
                <w:sz w:val="20"/>
                <w:szCs w:val="20"/>
                <w:lang w:eastAsia="en-AU"/>
              </w:rPr>
              <w:t>Origin</w:t>
            </w:r>
          </w:p>
        </w:tc>
      </w:tr>
      <w:tr w:rsidR="007D5465" w:rsidRPr="0040754F" w:rsidTr="009E0041">
        <w:tc>
          <w:tcPr>
            <w:tcW w:w="2816" w:type="dxa"/>
            <w:gridSpan w:val="2"/>
          </w:tcPr>
          <w:p w:rsidR="007D5465" w:rsidRPr="0040754F" w:rsidRDefault="007D5465" w:rsidP="009E0041">
            <w:pPr>
              <w:rPr>
                <w:szCs w:val="22"/>
              </w:rPr>
            </w:pPr>
            <w:r w:rsidRPr="0040754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54F">
              <w:rPr>
                <w:szCs w:val="22"/>
              </w:rPr>
              <w:instrText xml:space="preserve"> FORMTEXT </w:instrText>
            </w:r>
            <w:r w:rsidRPr="0040754F">
              <w:rPr>
                <w:szCs w:val="22"/>
              </w:rPr>
            </w:r>
            <w:r w:rsidRPr="0040754F">
              <w:rPr>
                <w:szCs w:val="22"/>
              </w:rPr>
              <w:fldChar w:fldCharType="separate"/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szCs w:val="22"/>
              </w:rPr>
              <w:fldChar w:fldCharType="end"/>
            </w:r>
          </w:p>
        </w:tc>
        <w:tc>
          <w:tcPr>
            <w:tcW w:w="3979" w:type="dxa"/>
          </w:tcPr>
          <w:p w:rsidR="007D5465" w:rsidRPr="0040754F" w:rsidRDefault="007D5465" w:rsidP="009E0041">
            <w:pPr>
              <w:rPr>
                <w:szCs w:val="22"/>
              </w:rPr>
            </w:pPr>
            <w:r w:rsidRPr="0040754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54F">
              <w:rPr>
                <w:szCs w:val="22"/>
              </w:rPr>
              <w:instrText xml:space="preserve"> FORMTEXT </w:instrText>
            </w:r>
            <w:r w:rsidRPr="0040754F">
              <w:rPr>
                <w:szCs w:val="22"/>
              </w:rPr>
            </w:r>
            <w:r w:rsidRPr="0040754F">
              <w:rPr>
                <w:szCs w:val="22"/>
              </w:rPr>
              <w:fldChar w:fldCharType="separate"/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szCs w:val="22"/>
              </w:rPr>
              <w:fldChar w:fldCharType="end"/>
            </w:r>
          </w:p>
        </w:tc>
        <w:tc>
          <w:tcPr>
            <w:tcW w:w="3979" w:type="dxa"/>
          </w:tcPr>
          <w:p w:rsidR="007D5465" w:rsidRPr="0040754F" w:rsidRDefault="007D5465" w:rsidP="009E0041">
            <w:pPr>
              <w:rPr>
                <w:szCs w:val="22"/>
              </w:rPr>
            </w:pPr>
            <w:r w:rsidRPr="0040754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54F">
              <w:rPr>
                <w:szCs w:val="22"/>
              </w:rPr>
              <w:instrText xml:space="preserve"> FORMTEXT </w:instrText>
            </w:r>
            <w:r w:rsidRPr="0040754F">
              <w:rPr>
                <w:szCs w:val="22"/>
              </w:rPr>
            </w:r>
            <w:r w:rsidRPr="0040754F">
              <w:rPr>
                <w:szCs w:val="22"/>
              </w:rPr>
              <w:fldChar w:fldCharType="separate"/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szCs w:val="22"/>
              </w:rPr>
              <w:fldChar w:fldCharType="end"/>
            </w:r>
          </w:p>
        </w:tc>
      </w:tr>
    </w:tbl>
    <w:p w:rsidR="007D5465" w:rsidRPr="0040754F" w:rsidRDefault="007D5465" w:rsidP="007D5465"/>
    <w:p w:rsidR="007D5465" w:rsidRPr="0040754F" w:rsidRDefault="007D5465" w:rsidP="007D5465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33"/>
        <w:gridCol w:w="5690"/>
      </w:tblGrid>
      <w:tr w:rsidR="007D5465" w:rsidRPr="0040754F" w:rsidTr="009E0041">
        <w:trPr>
          <w:cantSplit/>
        </w:trPr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t>5</w:t>
            </w:r>
          </w:p>
        </w:tc>
        <w:tc>
          <w:tcPr>
            <w:tcW w:w="9923" w:type="dxa"/>
            <w:gridSpan w:val="2"/>
          </w:tcPr>
          <w:p w:rsidR="007D5465" w:rsidRDefault="007D5465" w:rsidP="009E004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9838BE">
              <w:rPr>
                <w:b/>
                <w:bCs/>
                <w:sz w:val="24"/>
                <w:lang w:eastAsia="en-AU"/>
              </w:rPr>
              <w:t>Modified trait(s) and gene(s) responsible</w:t>
            </w:r>
            <w:r>
              <w:rPr>
                <w:b/>
                <w:bCs/>
                <w:szCs w:val="22"/>
                <w:lang w:eastAsia="en-AU"/>
              </w:rPr>
              <w:t xml:space="preserve"> </w:t>
            </w:r>
            <w:r>
              <w:rPr>
                <w:sz w:val="20"/>
                <w:szCs w:val="20"/>
                <w:lang w:eastAsia="en-AU"/>
              </w:rPr>
              <w:t>(</w:t>
            </w:r>
            <w:r>
              <w:rPr>
                <w:i/>
                <w:iCs/>
                <w:sz w:val="20"/>
                <w:szCs w:val="20"/>
                <w:lang w:eastAsia="en-AU"/>
              </w:rPr>
              <w:t>Eg fungal resistance, attenuation, protein expression,</w:t>
            </w:r>
          </w:p>
          <w:p w:rsidR="007D5465" w:rsidRPr="009838BE" w:rsidRDefault="007D5465" w:rsidP="009E0041">
            <w:pPr>
              <w:pStyle w:val="Questionheading"/>
              <w:rPr>
                <w:b w:val="0"/>
              </w:rPr>
            </w:pPr>
            <w:r w:rsidRPr="009838BE">
              <w:rPr>
                <w:b w:val="0"/>
                <w:i/>
                <w:iCs/>
                <w:sz w:val="20"/>
                <w:szCs w:val="20"/>
                <w:lang w:eastAsia="en-AU"/>
              </w:rPr>
              <w:t>disease resistance etc)</w:t>
            </w:r>
            <w:r w:rsidRPr="009838BE">
              <w:rPr>
                <w:b w:val="0"/>
                <w:sz w:val="20"/>
                <w:szCs w:val="20"/>
                <w:lang w:eastAsia="en-AU"/>
              </w:rPr>
              <w:t>)</w:t>
            </w:r>
          </w:p>
        </w:tc>
      </w:tr>
      <w:tr w:rsidR="007D5465" w:rsidRPr="0040754F" w:rsidTr="009E0041">
        <w:tc>
          <w:tcPr>
            <w:tcW w:w="5084" w:type="dxa"/>
            <w:gridSpan w:val="2"/>
            <w:tcBorders>
              <w:bottom w:val="single" w:sz="8" w:space="0" w:color="auto"/>
            </w:tcBorders>
          </w:tcPr>
          <w:p w:rsidR="007D5465" w:rsidRPr="0040754F" w:rsidRDefault="007D5465" w:rsidP="009E0041">
            <w:pPr>
              <w:rPr>
                <w:b/>
                <w:bCs/>
                <w:szCs w:val="22"/>
              </w:rPr>
            </w:pPr>
            <w:r w:rsidRPr="0040754F">
              <w:rPr>
                <w:b/>
                <w:bCs/>
                <w:szCs w:val="22"/>
              </w:rPr>
              <w:t>Class of modified trait</w:t>
            </w:r>
          </w:p>
        </w:tc>
        <w:tc>
          <w:tcPr>
            <w:tcW w:w="5690" w:type="dxa"/>
            <w:tcBorders>
              <w:bottom w:val="single" w:sz="8" w:space="0" w:color="auto"/>
            </w:tcBorders>
          </w:tcPr>
          <w:p w:rsidR="007D5465" w:rsidRPr="0040754F" w:rsidRDefault="007D5465" w:rsidP="009E0041">
            <w:pPr>
              <w:jc w:val="center"/>
              <w:rPr>
                <w:b/>
                <w:bCs/>
                <w:szCs w:val="22"/>
              </w:rPr>
            </w:pPr>
            <w:r w:rsidRPr="0040754F">
              <w:rPr>
                <w:b/>
                <w:bCs/>
                <w:szCs w:val="22"/>
              </w:rPr>
              <w:t>Details</w:t>
            </w:r>
          </w:p>
        </w:tc>
      </w:tr>
      <w:tr w:rsidR="007D5465" w:rsidRPr="0040754F" w:rsidTr="009E0041">
        <w:tc>
          <w:tcPr>
            <w:tcW w:w="5084" w:type="dxa"/>
            <w:gridSpan w:val="2"/>
          </w:tcPr>
          <w:p w:rsidR="007D5465" w:rsidRPr="0040754F" w:rsidRDefault="007D5465" w:rsidP="009E0041">
            <w:pPr>
              <w:rPr>
                <w:szCs w:val="22"/>
              </w:rPr>
            </w:pPr>
            <w:r w:rsidRPr="0040754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54F">
              <w:rPr>
                <w:szCs w:val="22"/>
              </w:rPr>
              <w:instrText xml:space="preserve"> FORMTEXT </w:instrText>
            </w:r>
            <w:r w:rsidRPr="0040754F">
              <w:rPr>
                <w:szCs w:val="22"/>
              </w:rPr>
            </w:r>
            <w:r w:rsidRPr="0040754F">
              <w:rPr>
                <w:szCs w:val="22"/>
              </w:rPr>
              <w:fldChar w:fldCharType="separate"/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szCs w:val="22"/>
              </w:rPr>
              <w:fldChar w:fldCharType="end"/>
            </w:r>
          </w:p>
        </w:tc>
        <w:tc>
          <w:tcPr>
            <w:tcW w:w="5690" w:type="dxa"/>
          </w:tcPr>
          <w:p w:rsidR="007D5465" w:rsidRPr="0040754F" w:rsidRDefault="007D5465" w:rsidP="009E0041">
            <w:pPr>
              <w:rPr>
                <w:szCs w:val="22"/>
              </w:rPr>
            </w:pPr>
            <w:r w:rsidRPr="0040754F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54F">
              <w:rPr>
                <w:szCs w:val="22"/>
              </w:rPr>
              <w:instrText xml:space="preserve"> FORMTEXT </w:instrText>
            </w:r>
            <w:r w:rsidRPr="0040754F">
              <w:rPr>
                <w:szCs w:val="22"/>
              </w:rPr>
            </w:r>
            <w:r w:rsidRPr="0040754F">
              <w:rPr>
                <w:szCs w:val="22"/>
              </w:rPr>
              <w:fldChar w:fldCharType="separate"/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noProof/>
                <w:szCs w:val="22"/>
              </w:rPr>
              <w:t> </w:t>
            </w:r>
            <w:r w:rsidRPr="0040754F">
              <w:rPr>
                <w:szCs w:val="22"/>
              </w:rPr>
              <w:fldChar w:fldCharType="end"/>
            </w:r>
          </w:p>
        </w:tc>
      </w:tr>
    </w:tbl>
    <w:p w:rsidR="007D5465" w:rsidRPr="0040754F" w:rsidRDefault="007D5465" w:rsidP="007D5465"/>
    <w:p w:rsidR="007D5465" w:rsidRPr="0040754F" w:rsidRDefault="007D5465" w:rsidP="007D5465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br w:type="page"/>
              <w:t>6</w:t>
            </w:r>
          </w:p>
        </w:tc>
        <w:tc>
          <w:tcPr>
            <w:tcW w:w="9923" w:type="dxa"/>
          </w:tcPr>
          <w:p w:rsidR="007D5465" w:rsidRPr="0040754F" w:rsidRDefault="007D5465" w:rsidP="009E0041">
            <w:pPr>
              <w:pStyle w:val="Questionheading"/>
            </w:pPr>
            <w:r w:rsidRPr="0040754F">
              <w:t>What are the possible hazard(s) or risk(s) to the staff performing the proposed genetic modification(s)?</w:t>
            </w:r>
          </w:p>
        </w:tc>
      </w:tr>
      <w:tr w:rsidR="007D5465" w:rsidRPr="0040754F" w:rsidTr="009E0041">
        <w:tc>
          <w:tcPr>
            <w:tcW w:w="10774" w:type="dxa"/>
            <w:gridSpan w:val="2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250 words max</w:t>
            </w:r>
          </w:p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</w:p>
        </w:tc>
      </w:tr>
    </w:tbl>
    <w:p w:rsidR="007D5465" w:rsidRPr="0040754F" w:rsidRDefault="007D5465" w:rsidP="007D5465">
      <w:pPr>
        <w:pStyle w:val="BodyText"/>
        <w:rPr>
          <w:b/>
          <w:bCs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br w:type="page"/>
              <w:t>7</w:t>
            </w:r>
          </w:p>
        </w:tc>
        <w:tc>
          <w:tcPr>
            <w:tcW w:w="9923" w:type="dxa"/>
          </w:tcPr>
          <w:p w:rsidR="007D5465" w:rsidRPr="0040754F" w:rsidRDefault="007D5465" w:rsidP="009E0041">
            <w:pPr>
              <w:pStyle w:val="Questionheading"/>
            </w:pPr>
            <w:r w:rsidRPr="0040754F">
              <w:t>What are the possible hazard(s) or risk(s) from an unintentional release of the GMO(s) into the environment?</w:t>
            </w:r>
          </w:p>
        </w:tc>
      </w:tr>
      <w:tr w:rsidR="007D5465" w:rsidRPr="0040754F" w:rsidTr="009E0041">
        <w:tc>
          <w:tcPr>
            <w:tcW w:w="10774" w:type="dxa"/>
            <w:gridSpan w:val="2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250 words max</w:t>
            </w:r>
          </w:p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</w:p>
        </w:tc>
      </w:tr>
    </w:tbl>
    <w:p w:rsidR="007D5465" w:rsidRDefault="007D5465" w:rsidP="007D5465"/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br w:type="page"/>
              <w:t>8</w:t>
            </w:r>
          </w:p>
        </w:tc>
        <w:tc>
          <w:tcPr>
            <w:tcW w:w="9923" w:type="dxa"/>
          </w:tcPr>
          <w:p w:rsidR="007D5465" w:rsidRPr="0040754F" w:rsidRDefault="007D5465" w:rsidP="009E0041">
            <w:pPr>
              <w:pStyle w:val="Questionheading"/>
            </w:pPr>
            <w:r w:rsidRPr="0040754F">
              <w:t>What are the steps you will take in the event of an unintentional release of the GMO(s)?</w:t>
            </w:r>
          </w:p>
        </w:tc>
      </w:tr>
      <w:tr w:rsidR="007D5465" w:rsidRPr="0040754F" w:rsidTr="009E0041">
        <w:tc>
          <w:tcPr>
            <w:tcW w:w="10774" w:type="dxa"/>
            <w:gridSpan w:val="2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250 words max</w:t>
            </w:r>
          </w:p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</w:p>
        </w:tc>
      </w:tr>
    </w:tbl>
    <w:p w:rsidR="007D5465" w:rsidRPr="0040754F" w:rsidRDefault="007D5465" w:rsidP="007D5465">
      <w:pPr>
        <w:pStyle w:val="BodyText"/>
        <w:rPr>
          <w:b/>
          <w:bCs/>
        </w:rPr>
      </w:pPr>
    </w:p>
    <w:p w:rsidR="007D5465" w:rsidRPr="0040754F" w:rsidRDefault="007D5465" w:rsidP="007D5465">
      <w:pPr>
        <w:pStyle w:val="BodyText"/>
        <w:rPr>
          <w:b/>
          <w:bCs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br w:type="page"/>
              <w:t>9</w:t>
            </w:r>
          </w:p>
        </w:tc>
        <w:tc>
          <w:tcPr>
            <w:tcW w:w="9923" w:type="dxa"/>
          </w:tcPr>
          <w:p w:rsidR="007D5465" w:rsidRPr="0040754F" w:rsidRDefault="007D5465" w:rsidP="009E0041">
            <w:pPr>
              <w:rPr>
                <w:bCs/>
                <w:sz w:val="20"/>
                <w:szCs w:val="20"/>
              </w:rPr>
            </w:pPr>
            <w:r w:rsidRPr="0040754F">
              <w:rPr>
                <w:b/>
                <w:bCs/>
                <w:sz w:val="24"/>
              </w:rPr>
              <w:t xml:space="preserve">Do you propose to transport the GMO(s) outside a certified facility? </w:t>
            </w:r>
            <w:r w:rsidRPr="0040754F">
              <w:rPr>
                <w:bCs/>
                <w:sz w:val="20"/>
                <w:szCs w:val="20"/>
              </w:rPr>
              <w:t>(Include details about method of transportation)</w:t>
            </w:r>
          </w:p>
        </w:tc>
      </w:tr>
      <w:tr w:rsidR="007D5465" w:rsidRPr="0040754F" w:rsidTr="009E0041">
        <w:tc>
          <w:tcPr>
            <w:tcW w:w="10774" w:type="dxa"/>
            <w:gridSpan w:val="2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250 words max</w:t>
            </w:r>
          </w:p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  <w:bookmarkEnd w:id="2"/>
          </w:p>
        </w:tc>
      </w:tr>
    </w:tbl>
    <w:p w:rsidR="007D5465" w:rsidRPr="0040754F" w:rsidRDefault="007D5465" w:rsidP="007D5465">
      <w:pPr>
        <w:pStyle w:val="BodyText"/>
        <w:rPr>
          <w:b/>
          <w:bCs/>
        </w:rPr>
      </w:pPr>
    </w:p>
    <w:p w:rsidR="007D5465" w:rsidRPr="0040754F" w:rsidRDefault="007D5465" w:rsidP="007D5465">
      <w:pPr>
        <w:pStyle w:val="BodyText"/>
        <w:rPr>
          <w:b/>
          <w:bCs/>
        </w:rPr>
      </w:pP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3"/>
      </w:tblGrid>
      <w:tr w:rsidR="007D5465" w:rsidRPr="0040754F" w:rsidTr="009E0041">
        <w:tc>
          <w:tcPr>
            <w:tcW w:w="851" w:type="dxa"/>
            <w:shd w:val="clear" w:color="auto" w:fill="FF0000"/>
          </w:tcPr>
          <w:p w:rsidR="007D5465" w:rsidRPr="0040754F" w:rsidRDefault="00CD3C0E" w:rsidP="009E0041">
            <w:pPr>
              <w:pStyle w:val="Questionheading"/>
            </w:pPr>
            <w:r>
              <w:lastRenderedPageBreak/>
              <w:br w:type="page"/>
              <w:t>10</w:t>
            </w:r>
          </w:p>
        </w:tc>
        <w:tc>
          <w:tcPr>
            <w:tcW w:w="9923" w:type="dxa"/>
          </w:tcPr>
          <w:p w:rsidR="007D5465" w:rsidRPr="0040754F" w:rsidRDefault="007D5465" w:rsidP="009E0041">
            <w:pPr>
              <w:pStyle w:val="Questionheading"/>
            </w:pPr>
            <w:r w:rsidRPr="0040754F">
              <w:t>How will the GMO(s) be disposed of?</w:t>
            </w:r>
          </w:p>
        </w:tc>
      </w:tr>
      <w:tr w:rsidR="007D5465" w:rsidRPr="0040754F" w:rsidTr="009E0041">
        <w:tc>
          <w:tcPr>
            <w:tcW w:w="10774" w:type="dxa"/>
            <w:gridSpan w:val="2"/>
          </w:tcPr>
          <w:p w:rsidR="007D5465" w:rsidRPr="0040754F" w:rsidRDefault="007D5465" w:rsidP="009E0041">
            <w:pPr>
              <w:pStyle w:val="BodyText"/>
              <w:rPr>
                <w:i/>
                <w:iCs/>
                <w:sz w:val="20"/>
                <w:szCs w:val="20"/>
              </w:rPr>
            </w:pPr>
            <w:r w:rsidRPr="0040754F">
              <w:rPr>
                <w:i/>
                <w:iCs/>
                <w:sz w:val="20"/>
                <w:szCs w:val="20"/>
              </w:rPr>
              <w:t>250 words max</w:t>
            </w:r>
          </w:p>
          <w:p w:rsidR="007D5465" w:rsidRPr="0040754F" w:rsidRDefault="007D5465" w:rsidP="009E0041">
            <w:pPr>
              <w:pStyle w:val="BodyText"/>
            </w:pPr>
            <w:r w:rsidRPr="0040754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0754F">
              <w:instrText xml:space="preserve"> FORMTEXT </w:instrText>
            </w:r>
            <w:r w:rsidRPr="0040754F">
              <w:fldChar w:fldCharType="separate"/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rPr>
                <w:noProof/>
              </w:rPr>
              <w:t> </w:t>
            </w:r>
            <w:r w:rsidRPr="0040754F">
              <w:fldChar w:fldCharType="end"/>
            </w:r>
          </w:p>
        </w:tc>
      </w:tr>
    </w:tbl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7D5465" w:rsidRPr="0040754F" w:rsidRDefault="007D5465" w:rsidP="007D5465"/>
    <w:p w:rsidR="009E0041" w:rsidRDefault="009E0041"/>
    <w:sectPr w:rsidR="009E0041">
      <w:headerReference w:type="default" r:id="rId11"/>
      <w:footerReference w:type="default" r:id="rId12"/>
      <w:type w:val="continuous"/>
      <w:pgSz w:w="11906" w:h="16838" w:code="9"/>
      <w:pgMar w:top="1134" w:right="2835" w:bottom="1701" w:left="1418" w:header="96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39" w:rsidRDefault="00376B39">
      <w:pPr>
        <w:spacing w:line="240" w:lineRule="auto"/>
      </w:pPr>
      <w:r>
        <w:separator/>
      </w:r>
    </w:p>
  </w:endnote>
  <w:endnote w:type="continuationSeparator" w:id="0">
    <w:p w:rsidR="00376B39" w:rsidRDefault="00376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17" w:rsidRDefault="00E33917">
    <w:pPr>
      <w:pStyle w:val="Footer"/>
      <w:pBdr>
        <w:top w:val="single" w:sz="2" w:space="1" w:color="auto"/>
      </w:pBdr>
      <w:tabs>
        <w:tab w:val="left" w:pos="68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17" w:rsidRDefault="001F17EA" w:rsidP="005654A2">
    <w:pPr>
      <w:pStyle w:val="Footer"/>
      <w:pBdr>
        <w:top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5274945</wp:posOffset>
          </wp:positionH>
          <wp:positionV relativeFrom="page">
            <wp:posOffset>7957185</wp:posOffset>
          </wp:positionV>
          <wp:extent cx="1551305" cy="2339975"/>
          <wp:effectExtent l="0" t="0" r="0" b="0"/>
          <wp:wrapNone/>
          <wp:docPr id="1" name="Picture 1" descr="Description: crest_15pc300_i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rest_15pc300_i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23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17" w:rsidRDefault="00E33917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39" w:rsidRDefault="00376B39">
      <w:pPr>
        <w:spacing w:line="240" w:lineRule="auto"/>
      </w:pPr>
      <w:r>
        <w:separator/>
      </w:r>
    </w:p>
  </w:footnote>
  <w:footnote w:type="continuationSeparator" w:id="0">
    <w:p w:rsidR="00376B39" w:rsidRDefault="00376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17" w:rsidRDefault="00E33917">
    <w:pPr>
      <w:pStyle w:val="Header"/>
    </w:pPr>
  </w:p>
  <w:p w:rsidR="00E33917" w:rsidRDefault="00E33917">
    <w:pPr>
      <w:pStyle w:val="Header"/>
    </w:pPr>
  </w:p>
  <w:p w:rsidR="00E33917" w:rsidRDefault="001F17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-590550</wp:posOffset>
          </wp:positionV>
          <wp:extent cx="967740" cy="1943100"/>
          <wp:effectExtent l="0" t="0" r="0" b="0"/>
          <wp:wrapNone/>
          <wp:docPr id="2" name="Picture 2" descr="Description: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17" w:rsidRDefault="00E3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29"/>
    <w:multiLevelType w:val="hybridMultilevel"/>
    <w:tmpl w:val="9E581BD4"/>
    <w:lvl w:ilvl="0" w:tplc="E6BECE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118"/>
    <w:multiLevelType w:val="hybridMultilevel"/>
    <w:tmpl w:val="F40293AC"/>
    <w:lvl w:ilvl="0" w:tplc="CD62E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63A5C"/>
    <w:multiLevelType w:val="hybridMultilevel"/>
    <w:tmpl w:val="14BCDD4C"/>
    <w:lvl w:ilvl="0" w:tplc="EA5A00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51836"/>
    <w:multiLevelType w:val="hybridMultilevel"/>
    <w:tmpl w:val="7EC017F8"/>
    <w:lvl w:ilvl="0" w:tplc="EA5A0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5"/>
    <w:rsid w:val="00040BE8"/>
    <w:rsid w:val="00072E82"/>
    <w:rsid w:val="000C0AE9"/>
    <w:rsid w:val="000D63CE"/>
    <w:rsid w:val="00111C56"/>
    <w:rsid w:val="0011380C"/>
    <w:rsid w:val="001F17EA"/>
    <w:rsid w:val="0022325A"/>
    <w:rsid w:val="002576A5"/>
    <w:rsid w:val="0032071B"/>
    <w:rsid w:val="00337B1C"/>
    <w:rsid w:val="00376B39"/>
    <w:rsid w:val="00415E1B"/>
    <w:rsid w:val="00510CC9"/>
    <w:rsid w:val="0053195A"/>
    <w:rsid w:val="00552ACF"/>
    <w:rsid w:val="005654A2"/>
    <w:rsid w:val="00595647"/>
    <w:rsid w:val="005B3990"/>
    <w:rsid w:val="005E28F9"/>
    <w:rsid w:val="005E3213"/>
    <w:rsid w:val="006C3BD5"/>
    <w:rsid w:val="00752D79"/>
    <w:rsid w:val="0078773E"/>
    <w:rsid w:val="007D5465"/>
    <w:rsid w:val="007E06E8"/>
    <w:rsid w:val="008133EF"/>
    <w:rsid w:val="00817D97"/>
    <w:rsid w:val="008257F4"/>
    <w:rsid w:val="00945E7F"/>
    <w:rsid w:val="00987A21"/>
    <w:rsid w:val="009A39FE"/>
    <w:rsid w:val="009E0041"/>
    <w:rsid w:val="00A269A0"/>
    <w:rsid w:val="00A3051D"/>
    <w:rsid w:val="00AB5958"/>
    <w:rsid w:val="00BA4A3B"/>
    <w:rsid w:val="00BD75C7"/>
    <w:rsid w:val="00C52CF1"/>
    <w:rsid w:val="00CD3C0E"/>
    <w:rsid w:val="00D05A8F"/>
    <w:rsid w:val="00D55058"/>
    <w:rsid w:val="00D65186"/>
    <w:rsid w:val="00DF50B2"/>
    <w:rsid w:val="00E32124"/>
    <w:rsid w:val="00E33917"/>
    <w:rsid w:val="00E8667C"/>
    <w:rsid w:val="00F07720"/>
    <w:rsid w:val="00F5148A"/>
    <w:rsid w:val="00F70355"/>
    <w:rsid w:val="00FF2CAC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E000A-ECC3-41BB-9A58-E7C4899F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65"/>
    <w:pPr>
      <w:suppressAutoHyphens/>
      <w:spacing w:line="280" w:lineRule="exact"/>
    </w:pPr>
    <w:rPr>
      <w:rFonts w:ascii="Arial" w:eastAsia="Times New Roman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RHtitle">
    <w:name w:val="SCERH title"/>
    <w:basedOn w:val="Title"/>
    <w:rsid w:val="007D5465"/>
    <w:pPr>
      <w:pBdr>
        <w:bottom w:val="none" w:sz="0" w:space="0" w:color="auto"/>
      </w:pBdr>
      <w:suppressAutoHyphens w:val="0"/>
      <w:autoSpaceDE w:val="0"/>
      <w:autoSpaceDN w:val="0"/>
      <w:spacing w:after="0"/>
      <w:contextualSpacing w:val="0"/>
      <w:jc w:val="center"/>
    </w:pPr>
    <w:rPr>
      <w:rFonts w:ascii="Helvetica" w:hAnsi="Helvetica" w:cs="Helvetica"/>
      <w:b/>
      <w:bCs/>
      <w:color w:val="auto"/>
      <w:spacing w:val="0"/>
      <w:kern w:val="0"/>
      <w:sz w:val="28"/>
      <w:szCs w:val="28"/>
    </w:rPr>
  </w:style>
  <w:style w:type="paragraph" w:styleId="Header">
    <w:name w:val="header"/>
    <w:basedOn w:val="Normal"/>
    <w:link w:val="HeaderChar"/>
    <w:rsid w:val="007D5465"/>
    <w:pPr>
      <w:widowControl w:val="0"/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rsid w:val="007D546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D5465"/>
    <w:pPr>
      <w:widowControl w:val="0"/>
      <w:pBdr>
        <w:top w:val="single" w:sz="2" w:space="3" w:color="auto"/>
      </w:pBdr>
      <w:tabs>
        <w:tab w:val="left" w:pos="284"/>
        <w:tab w:val="right" w:pos="8222"/>
      </w:tabs>
    </w:pPr>
    <w:rPr>
      <w:rFonts w:cs="Times New Roman"/>
      <w:sz w:val="16"/>
      <w:szCs w:val="20"/>
    </w:rPr>
  </w:style>
  <w:style w:type="character" w:customStyle="1" w:styleId="FooterChar">
    <w:name w:val="Footer Char"/>
    <w:link w:val="Footer"/>
    <w:rsid w:val="007D5465"/>
    <w:rPr>
      <w:rFonts w:ascii="Arial" w:eastAsia="Times New Roman" w:hAnsi="Arial" w:cs="Times New Roman"/>
      <w:sz w:val="16"/>
      <w:szCs w:val="20"/>
    </w:rPr>
  </w:style>
  <w:style w:type="paragraph" w:styleId="BodyText">
    <w:name w:val="Body Text"/>
    <w:basedOn w:val="Normal"/>
    <w:link w:val="BodyTextChar"/>
    <w:rsid w:val="007D5465"/>
    <w:pPr>
      <w:suppressAutoHyphens w:val="0"/>
      <w:autoSpaceDE w:val="0"/>
      <w:autoSpaceDN w:val="0"/>
      <w:spacing w:line="240" w:lineRule="auto"/>
    </w:pPr>
    <w:rPr>
      <w:sz w:val="24"/>
      <w:lang w:val="x-none"/>
    </w:rPr>
  </w:style>
  <w:style w:type="character" w:customStyle="1" w:styleId="BodyTextChar">
    <w:name w:val="Body Text Char"/>
    <w:link w:val="BodyText"/>
    <w:rsid w:val="007D5465"/>
    <w:rPr>
      <w:rFonts w:ascii="Arial" w:eastAsia="Times New Roman" w:hAnsi="Arial" w:cs="Arial"/>
      <w:sz w:val="24"/>
      <w:szCs w:val="24"/>
      <w:lang w:val="x-none"/>
    </w:rPr>
  </w:style>
  <w:style w:type="paragraph" w:customStyle="1" w:styleId="Questionheading">
    <w:name w:val="Question heading"/>
    <w:basedOn w:val="BodyText"/>
    <w:rsid w:val="007D546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D54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D54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7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E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7603-534C-4B62-8B0A-1884C3A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shamiltonbrown</dc:creator>
  <cp:keywords/>
  <dc:description/>
  <cp:lastModifiedBy>Elle McClintock</cp:lastModifiedBy>
  <cp:revision>2</cp:revision>
  <cp:lastPrinted>2012-04-13T05:11:00Z</cp:lastPrinted>
  <dcterms:created xsi:type="dcterms:W3CDTF">2018-01-15T01:59:00Z</dcterms:created>
  <dcterms:modified xsi:type="dcterms:W3CDTF">2018-01-15T01:59:00Z</dcterms:modified>
</cp:coreProperties>
</file>